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27pt;margin-top:829pt;mso-position-horizontal-relative:page;mso-position-vertical-relative:top-margin-area;position:absolute;width:22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第十六章 第1节 电压 课时练 （锦州中学）</w:t>
      </w:r>
    </w:p>
    <w:p>
      <w:pPr>
        <w:widowControl/>
        <w:spacing w:before="0" w:after="0" w:line="240" w:lineRule="auto"/>
        <w:ind w:left="0" w:right="0"/>
        <w:jc w:val="center"/>
      </w:pPr>
      <w:r>
        <w:rPr>
          <w:rFonts w:ascii="宋体" w:eastAsia="宋体" w:hAnsi="宋体" w:cs="宋体"/>
          <w:color w:val="000000"/>
          <w:sz w:val="21"/>
          <w:szCs w:val="21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下列各种说法中错误的是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教室内的电压为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220 V</w:t>
      </w:r>
      <w:r>
        <w:rPr>
          <w:color w:val="000000"/>
          <w:sz w:val="24"/>
          <w:szCs w:val="24"/>
        </w:rPr>
        <w:t>               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0.6 kV=60 000 mV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一节干电池的电压一般是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不高于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36 V</w:t>
      </w:r>
      <w:r>
        <w:rPr>
          <w:rFonts w:ascii="宋体" w:eastAsia="宋体" w:hAnsi="宋体" w:cs="宋体"/>
          <w:color w:val="000000"/>
          <w:sz w:val="21"/>
          <w:szCs w:val="21"/>
        </w:rPr>
        <w:t>的电压是安全电压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下列有关电压的说法中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某电路中有电流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它的两端不一定有电压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某电路两端有电压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电路中一定有电流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电压是使自由电荷发生定向移动形成电流的原因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电源是提供电压的装置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不同的电源提供的电压都是一样的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比较电流表和电压表的使用方法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接入电路前要估计测量值的范围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来选定量程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接入电路时都要使电流从正接线柱流入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从负接线柱流出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接入电路时都严禁将表的两个接线柱直接接到电源的两极上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使用前都要检查指针是否对准零刻度线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某同学连了如图所示的电路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其后果是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670560" cy="508635"/>
            <wp:effectExtent l="0" t="0" r="0" b="0"/>
            <wp:docPr id="749762417" name="0 Imagen" descr="images/20d9f349-a11c-43d2-9823-58a58909f8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762417" name="0 Imagen" descr="images/20d9f349-a11c-43d2-9823-58a58909f8c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电压表和电流表都可能烧坏</w:t>
      </w:r>
      <w:r>
        <w:rPr>
          <w:color w:val="000000"/>
          <w:sz w:val="24"/>
          <w:szCs w:val="24"/>
        </w:rPr>
        <w:t>              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电压表不会烧坏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电压表可能烧坏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电流表不会烧坏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两表都不会烧坏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如图所示的四个电路图中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电流表和电压表的接法都正确的是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drawing>
          <wp:inline distT="0" distB="0" distL="0" distR="0">
            <wp:extent cx="3159760" cy="680720"/>
            <wp:effectExtent l="0" t="0" r="0" b="0"/>
            <wp:docPr id="275237725" name="0 Imagen" descr="images/1176ab26-daf6-403b-a34d-574d40c125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37725" name="0 Imagen" descr="images/1176ab26-daf6-403b-a34d-574d40c125d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967" cy="6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能正确地测出小灯泡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两端电压的电路是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drawing>
          <wp:inline distT="0" distB="0" distL="0" distR="0">
            <wp:extent cx="795020" cy="687705"/>
            <wp:effectExtent l="0" t="0" r="0" b="0"/>
            <wp:docPr id="917602759" name="0 Imagen" descr="images/19f69b55-5b2e-4b32-9322-6eb327aed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02759" name="0 Imagen" descr="images/19f69b55-5b2e-4b32-9322-6eb327aed45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68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drawing>
          <wp:inline distT="0" distB="0" distL="0" distR="0">
            <wp:extent cx="779145" cy="667385"/>
            <wp:effectExtent l="0" t="0" r="0" b="0"/>
            <wp:docPr id="67327997" name="0 Imagen" descr="images/7e6eeb36-000a-4ccd-bb62-2b09ebffda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7997" name="0 Imagen" descr="images/7e6eeb36-000a-4ccd-bb62-2b09ebffda5e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drawing>
          <wp:inline distT="0" distB="0" distL="0" distR="0">
            <wp:extent cx="783590" cy="674370"/>
            <wp:effectExtent l="0" t="0" r="0" b="0"/>
            <wp:docPr id="357550114" name="0 Imagen" descr="images/d38aa583-45a9-4615-a8b1-224cb715f6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50114" name="0 Imagen" descr="images/d38aa583-45a9-4615-a8b1-224cb715f6d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drawing>
          <wp:inline distT="0" distB="0" distL="0" distR="0">
            <wp:extent cx="783590" cy="657860"/>
            <wp:effectExtent l="0" t="0" r="0" b="0"/>
            <wp:docPr id="156797781" name="0 Imagen" descr="images/4acfff16-6cc4-4e1e-98ef-2fd70622f2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97781" name="0 Imagen" descr="images/4acfff16-6cc4-4e1e-98ef-2fd70622f2d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09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S,</w:t>
      </w:r>
      <w:r>
        <w:rPr>
          <w:rFonts w:ascii="宋体" w:eastAsia="宋体" w:hAnsi="宋体" w:cs="宋体"/>
          <w:color w:val="000000"/>
          <w:sz w:val="21"/>
          <w:szCs w:val="21"/>
        </w:rPr>
        <w:t>则下列说法正确的是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52220" cy="911225"/>
            <wp:effectExtent l="0" t="0" r="0" b="0"/>
            <wp:docPr id="183144723" name="0 Imagen" descr="images/3bf99229-f60d-49a6-9b3f-78c06baf52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44723" name="0 Imagen" descr="images/3bf99229-f60d-49a6-9b3f-78c06baf525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电压表测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和电源的电压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电压表测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电压表测电源电压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是电表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闭合开关要使电灯发光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170305" cy="835025"/>
            <wp:effectExtent l="0" t="0" r="0" b="0"/>
            <wp:docPr id="569219038" name="0 Imagen" descr="images/5d5cbdf1-4c65-41e0-874c-2ad2f42eac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19038" name="0 Imagen" descr="images/5d5cbdf1-4c65-41e0-874c-2ad2f42eacd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2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都是电流表</w:t>
      </w:r>
      <w:r>
        <w:rPr>
          <w:color w:val="000000"/>
          <w:sz w:val="24"/>
          <w:szCs w:val="24"/>
        </w:rPr>
        <w:t>              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都是电压表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是电流表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是电压表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是电压表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是电流表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为了保护电压表免受损坏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在不能充分估测电压大小的情况下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要用试触的方法选择电压表的量程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在试触过程中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下列哪种做法是正确的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先试触电压表的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“3”“15”</w:t>
      </w:r>
      <w:r>
        <w:rPr>
          <w:rFonts w:ascii="宋体" w:eastAsia="宋体" w:hAnsi="宋体" w:cs="宋体"/>
          <w:color w:val="000000"/>
          <w:sz w:val="21"/>
          <w:szCs w:val="21"/>
        </w:rPr>
        <w:t>接线柱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先试触电压表的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“-”“3”</w:t>
      </w:r>
      <w:r>
        <w:rPr>
          <w:rFonts w:ascii="宋体" w:eastAsia="宋体" w:hAnsi="宋体" w:cs="宋体"/>
          <w:color w:val="000000"/>
          <w:sz w:val="21"/>
          <w:szCs w:val="21"/>
        </w:rPr>
        <w:t>接线柱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先试触电压表的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“-”“15'</w:t>
      </w:r>
      <w:r>
        <w:rPr>
          <w:rFonts w:ascii="宋体" w:eastAsia="宋体" w:hAnsi="宋体" w:cs="宋体"/>
          <w:color w:val="000000"/>
          <w:sz w:val="21"/>
          <w:szCs w:val="21"/>
        </w:rPr>
        <w:t>接线柱</w:t>
      </w:r>
      <w:r>
        <w:rPr>
          <w:color w:val="000000"/>
          <w:sz w:val="24"/>
          <w:szCs w:val="24"/>
        </w:rPr>
        <w:t>              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以上说法均可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在实验室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小璐同学发现一个电压表有两个量程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大量程是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9 V,</w:t>
      </w:r>
      <w:r>
        <w:rPr>
          <w:rFonts w:ascii="宋体" w:eastAsia="宋体" w:hAnsi="宋体" w:cs="宋体"/>
          <w:color w:val="000000"/>
          <w:sz w:val="21"/>
          <w:szCs w:val="21"/>
        </w:rPr>
        <w:t>小量程模糊不清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为了测量小量程是多少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她先用大量程接入电路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指针位置如图甲所示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然后再改用小量程接入同一电路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指针指示如图乙所示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则电压表的小量程为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081530" cy="779780"/>
            <wp:effectExtent l="0" t="0" r="0" b="0"/>
            <wp:docPr id="852652853" name="0 Imagen" descr="images/1966fd08-7e28-4b6a-8c97-2c3e61508f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652853" name="0 Imagen" descr="images/1966fd08-7e28-4b6a-8c97-2c3e61508f9b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784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乙两个小灯泡连接在电路中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①②③可能是电压表或电流表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682625" cy="591185"/>
            <wp:effectExtent l="0" t="0" r="0" b="0"/>
            <wp:docPr id="267896849" name="0 Imagen" descr="images/786e0276-b5c4-4b06-845f-5fea4b591b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96849" name="0 Imagen" descr="images/786e0276-b5c4-4b06-845f-5fea4b591b3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若①②为电流表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③为电压表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两灯都亮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若①②为电压表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③为电流表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两灯都亮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若①③为电压表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②为电流表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两灯串联都不亮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若①③为电流表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②为电压表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两灯并联都亮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两个灯泡都不发光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电流表指针几乎不动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而电压表指针有明显偏转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该电路故障可能是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22655" cy="643890"/>
            <wp:effectExtent l="0" t="0" r="0" b="0"/>
            <wp:docPr id="992779239" name="0 Imagen" descr="images/af7aeb60-3f1a-4ef7-9fec-977f910528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79239" name="0 Imagen" descr="images/af7aeb60-3f1a-4ef7-9fec-977f9105287b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713" cy="64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电流表开路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灯丝断了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灯丝断了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开路</w:t>
      </w:r>
      <w:r>
        <w:rPr>
          <w:color w:val="000000"/>
          <w:sz w:val="24"/>
          <w:szCs w:val="24"/>
        </w:rPr>
        <w:t>                                    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二、多选题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多选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886460" cy="523875"/>
            <wp:effectExtent l="0" t="0" r="0" b="0"/>
            <wp:docPr id="658169823" name="0 Imagen" descr="images/573b394f-c2c0-4c08-ba0b-046f472b6fa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69823" name="0 Imagen" descr="images/573b394f-c2c0-4c08-ba0b-046f472b6fa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与灯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是串联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且灯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被短路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电压表可测出灯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测的是灯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测的是灯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电源的作用就是给用电器两端提供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家庭电路两端的电压是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V.</w:t>
      </w:r>
      <w:r>
        <w:rPr>
          <w:rFonts w:ascii="宋体" w:eastAsia="宋体" w:hAnsi="宋体" w:cs="宋体"/>
          <w:color w:val="000000"/>
          <w:sz w:val="21"/>
          <w:szCs w:val="21"/>
        </w:rPr>
        <w:t>电视信号在天线上感应的电压约为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mV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V.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 </w:t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读出图中电流表和电压表的示数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120900" cy="804545"/>
            <wp:effectExtent l="0" t="0" r="0" b="0"/>
            <wp:docPr id="586481898" name="0 Imagen" descr="images/576c20c7-1d5d-441a-9f50-40b8401f21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481898" name="0 Imagen" descr="images/576c20c7-1d5d-441a-9f50-40b8401f21e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在烧杯中加入盐水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然后将连在电压表上的铜片和锌片插入盐水中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这样就制成了一个盐水电池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观察电压表指针的偏转与接线情况可以知道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这个电池的电压是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V,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片是它的正极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602105" cy="1147445"/>
            <wp:effectExtent l="0" t="0" r="0" b="0"/>
            <wp:docPr id="632143937" name="0 Imagen" descr="images/97750b7a-3e2c-46f4-ab60-0e9548f576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43937" name="0 Imagen" descr="images/97750b7a-3e2c-46f4-ab60-0e9548f5762b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486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小军同学实验用的电压表有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V</w:t>
      </w:r>
      <w:r>
        <w:rPr>
          <w:rFonts w:ascii="宋体" w:eastAsia="宋体" w:hAnsi="宋体" w:cs="宋体"/>
          <w:color w:val="000000"/>
          <w:sz w:val="21"/>
          <w:szCs w:val="21"/>
        </w:rPr>
        <w:t>两个量程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经判定他选用了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这一量程将电压表接入电路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量程的刻度模糊不清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无法从上面读出实验数据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但是能从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V</w:t>
      </w:r>
      <w:r>
        <w:rPr>
          <w:rFonts w:ascii="宋体" w:eastAsia="宋体" w:hAnsi="宋体" w:cs="宋体"/>
          <w:color w:val="000000"/>
          <w:sz w:val="21"/>
          <w:szCs w:val="21"/>
        </w:rPr>
        <w:t>量程的刻度线上看出指针停在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V</w:t>
      </w:r>
      <w:r>
        <w:rPr>
          <w:rFonts w:ascii="宋体" w:eastAsia="宋体" w:hAnsi="宋体" w:cs="宋体"/>
          <w:color w:val="000000"/>
          <w:sz w:val="21"/>
          <w:szCs w:val="21"/>
        </w:rPr>
        <w:t>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试问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加在电压表上的实际电压是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关于电压表的大小之间的关系是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大量程是小量程的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</w:rPr>
        <w:t>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原因是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　　　　　　　　　　　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782955" cy="609600"/>
            <wp:effectExtent l="0" t="0" r="0" b="0"/>
            <wp:docPr id="589184760" name="0 Imagen" descr="images/48956fd9-427c-43fc-a661-7fd750e4a2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184760" name="0 Imagen" descr="images/48956fd9-427c-43fc-a661-7fd750e4a2c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6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如图所示是某同学用电压表测灯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两端电压的实物图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其中的三处错误是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276985" cy="682625"/>
            <wp:effectExtent l="0" t="0" r="0" b="0"/>
            <wp:docPr id="70500692" name="0 Imagen" descr="images/83947eb7-e799-49d7-9b41-574dac73c9b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00692" name="0 Imagen" descr="images/83947eb7-e799-49d7-9b41-574dac73c9b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12" cy="68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(1)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(2)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(3)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张峰有一个标准的电压表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V</w:t>
      </w:r>
      <w:r>
        <w:rPr>
          <w:rFonts w:ascii="宋体" w:eastAsia="宋体" w:hAnsi="宋体" w:cs="宋体"/>
          <w:color w:val="000000"/>
          <w:sz w:val="21"/>
          <w:szCs w:val="21"/>
        </w:rPr>
        <w:t>两个量程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用它测量由两节干电池串联组成的电池组的电压时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接线正确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但他读出的读数是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V,</w:t>
      </w:r>
      <w:r>
        <w:rPr>
          <w:rFonts w:ascii="宋体" w:eastAsia="宋体" w:hAnsi="宋体" w:cs="宋体"/>
          <w:color w:val="000000"/>
          <w:sz w:val="21"/>
          <w:szCs w:val="21"/>
        </w:rPr>
        <w:t>这显然是错误的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请你说出他出现错误的原因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实际电压应是多少伏特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五、作图题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</w:rPr>
        <w:t>按下图所示的实物连接图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在虚线框内画出相应的电路图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3648075" cy="1067435"/>
            <wp:effectExtent l="0" t="0" r="0" b="0"/>
            <wp:docPr id="768262410" name="0 Imagen" descr="images/c9a01f0d-18ba-45e2-a038-4868cf39e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62410" name="0 Imagen" descr="images/c9a01f0d-18ba-45e2-a038-4868cf39e57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456" cy="106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六、综合题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科学探究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苹果电池的电压大小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sz w:val="21"/>
          <w:szCs w:val="21"/>
        </w:rPr>
        <w:t>与电极插入苹果的深度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rFonts w:ascii="宋体" w:eastAsia="宋体" w:hAnsi="宋体" w:cs="宋体"/>
          <w:color w:val="000000"/>
          <w:sz w:val="21"/>
          <w:szCs w:val="21"/>
        </w:rPr>
        <w:t>的关系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在苹果中插入铜片和锌片就能成为一个苹果电池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铜片是电池的正电极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锌片是负电极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那么苹果电池的电压大小与电极插入苹果的深度有怎样的关系呢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  <w:r>
        <w:rPr>
          <w:rFonts w:ascii="宋体" w:eastAsia="宋体" w:hAnsi="宋体" w:cs="宋体"/>
          <w:color w:val="000000"/>
          <w:sz w:val="21"/>
          <w:szCs w:val="21"/>
        </w:rPr>
        <w:t>某实验小组用如图所示的实验器材对该问题进行探究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请用笔画线代替导线完成如图甲的实物连接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676400" cy="657860"/>
            <wp:effectExtent l="0" t="0" r="0" b="0"/>
            <wp:docPr id="822298109" name="0 Imagen" descr="images/06ee43c1-2eb5-424e-a9ae-bdddfe3e22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298109" name="0 Imagen" descr="images/06ee43c1-2eb5-424e-a9ae-bdddfe3e22ca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实验时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应保持其他条件不变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只改变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                       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小组同学测得的实验数据如下表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当深度为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cm</w:t>
      </w:r>
      <w:r>
        <w:rPr>
          <w:rFonts w:ascii="宋体" w:eastAsia="宋体" w:hAnsi="宋体" w:cs="宋体"/>
          <w:color w:val="000000"/>
          <w:sz w:val="21"/>
          <w:szCs w:val="21"/>
        </w:rPr>
        <w:t>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电压表示数如图乙所示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请将电压值填入下表空格中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bookmarkStart w:id="0" w:name="_GoBack"/>
      <w:bookmarkEnd w:id="0"/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245"/>
        <w:gridCol w:w="1246"/>
        <w:gridCol w:w="1246"/>
        <w:gridCol w:w="1246"/>
        <w:gridCol w:w="1245"/>
        <w:gridCol w:w="1246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两电极插入的深度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h/cm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4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5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6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苹果电池电压</w:t>
            </w:r>
            <w:r>
              <w:rPr>
                <w:i/>
                <w:iCs/>
                <w:color w:val="000000"/>
                <w:position w:val="-3"/>
                <w:sz w:val="21"/>
                <w:szCs w:val="21"/>
              </w:rPr>
              <w:t>U/V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0.12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0.18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0.22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0.27</w:t>
            </w:r>
          </w:p>
        </w:tc>
        <w:tc>
          <w:tcPr>
            <w:tcW w:w="124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  <w:u w:val="single"/>
              </w:rPr>
              <w:t>　　 </w:t>
            </w:r>
          </w:p>
        </w:tc>
        <w:tc>
          <w:tcPr>
            <w:tcW w:w="124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0.34</w:t>
            </w:r>
          </w:p>
        </w:tc>
      </w:tr>
    </w:tbl>
    <w:p/>
    <w:p>
      <w:r>
        <w:rPr>
          <w:rFonts w:ascii="Times New Roman" w:hAnsi="Times New Roman" w:cs="Times New Roman"/>
        </w:rPr>
        <w:t>(4)</w:t>
      </w:r>
      <w:r>
        <w:rPr>
          <w:rFonts w:ascii="宋体" w:eastAsia="宋体" w:hAnsi="宋体" w:cs="宋体"/>
          <w:color w:val="000000"/>
          <w:sz w:val="21"/>
          <w:szCs w:val="21"/>
        </w:rPr>
        <w:t>分析表格中的数据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你能得到的实验结论是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　　　　　　　　　　　　　　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 </w:t>
      </w:r>
    </w:p>
    <w:p>
      <w:r>
        <w:rPr>
          <w:rFonts w:ascii="Times New Roman" w:hAnsi="Times New Roman" w:cs="Times New Roman"/>
        </w:rPr>
        <w:t>(5)</w:t>
      </w:r>
      <w:r>
        <w:rPr>
          <w:rFonts w:ascii="宋体" w:eastAsia="宋体" w:hAnsi="宋体" w:cs="宋体"/>
          <w:color w:val="000000"/>
          <w:sz w:val="21"/>
          <w:szCs w:val="21"/>
        </w:rPr>
        <w:t>科学猜想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苹果电池的电压大小还可能与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　　</w:t>
      </w:r>
      <w:r>
        <w:rPr>
          <w:rFonts w:ascii="宋体" w:eastAsia="宋体" w:hAnsi="宋体" w:cs="宋体"/>
          <w:color w:val="000000"/>
          <w:sz w:val="21"/>
          <w:szCs w:val="21"/>
        </w:rPr>
        <w:t>有关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(6)</w:t>
      </w:r>
      <w:r>
        <w:rPr>
          <w:rFonts w:ascii="宋体" w:eastAsia="宋体" w:hAnsi="宋体" w:cs="宋体"/>
          <w:color w:val="000000"/>
          <w:sz w:val="21"/>
          <w:szCs w:val="21"/>
        </w:rPr>
        <w:t>如果实验前不知道苹果电池的正负极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可以使用电压表来判断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你认为还可以使用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填写一种实验器材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来判断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干电池电压通常是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1.5 V。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电路中有电流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两端必定有电压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电路中有电压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不一定有电流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电压是使自由电荷发生定向移动形成电流的原因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不同的电源提供的电压一般不同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电压表可以直接接在电源两极上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在理想情况下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电流表电阻忽略不计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电压表的电阻为无穷大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相当于断路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在使用电表过程中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电流表要与用电器串联使用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电压表要与用电器并联使用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且使用时必须让电流从两电表的正接线柱流入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负接线柱流出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符合要求的只有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电压表正负接线柱接反了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不能测出小灯泡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电压表测量的是两灯泡串联总电压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测量的是电源电压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不能测出小灯泡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电压表与小灯泡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测量的是小灯泡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不能测出小灯泡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电压表并联在小灯泡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测小灯泡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电压表和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所以电压表测的是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由图可知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与灯泡串联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与灯泡并联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根据电流表和电压表的使用规则可知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是电流表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是电压表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在试触过程中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必须先选用大量程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根据指针偏转的角度选择合适的量程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由题图甲知大量程的每一个大格是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每一个小格是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V。</w:t>
      </w:r>
      <w:r>
        <w:rPr>
          <w:rFonts w:ascii="宋体" w:eastAsia="宋体" w:hAnsi="宋体" w:cs="宋体"/>
          <w:color w:val="000000"/>
          <w:sz w:val="21"/>
          <w:szCs w:val="21"/>
        </w:rPr>
        <w:t>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小量程的电压表接入的是同一电路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示数应该是相同的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因此题图乙中指针的位置应是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V,</w:t>
      </w:r>
      <w:r>
        <w:rPr>
          <w:rFonts w:ascii="宋体" w:eastAsia="宋体" w:hAnsi="宋体" w:cs="宋体"/>
          <w:color w:val="000000"/>
          <w:sz w:val="21"/>
          <w:szCs w:val="21"/>
        </w:rPr>
        <w:t>故小量程每一小格是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V,</w:t>
      </w:r>
      <w:r>
        <w:rPr>
          <w:rFonts w:ascii="宋体" w:eastAsia="宋体" w:hAnsi="宋体" w:cs="宋体"/>
          <w:color w:val="000000"/>
          <w:sz w:val="21"/>
          <w:szCs w:val="21"/>
        </w:rPr>
        <w:t>因此小量程为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~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电流表的正确用法以及串并联电路的特点进行分析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在串联电路里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用电器顺次连接起来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并联电路是将用电器两端连接在一起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电压表在电路中起开路作用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电流表在电路中起短路作用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如果①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②为电流表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③为电压表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甲灯会被电流表短路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所以甲灯不会发光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②为电压表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③为电流表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乙灯中不会有电流通过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所以乙灯不会发光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③为电压表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②为电流表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甲灯和乙灯组成串联电路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都亮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如果①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③为电流表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②为电压表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甲灯和乙灯组成并联电路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都亮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　</w:t>
      </w:r>
      <w:r>
        <w:rPr>
          <w:rFonts w:ascii="Times New Roman" w:hAnsi="Times New Roman" w:cs="Times New Roma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A.</w:t>
      </w:r>
      <w:r>
        <w:rPr>
          <w:rFonts w:ascii="宋体" w:eastAsia="宋体" w:hAnsi="宋体" w:cs="宋体"/>
          <w:color w:val="000000"/>
          <w:sz w:val="21"/>
          <w:szCs w:val="21"/>
        </w:rPr>
        <w:t>电流表开路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灯丝断了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电压表不会有示数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;B.L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灯丝断了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;C.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开路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电压表不会有示数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;D.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短路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电压表不会有示数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从电路图中可知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S</w:t>
      </w:r>
      <w:r>
        <w:rPr>
          <w:rFonts w:ascii="宋体" w:eastAsia="宋体" w:hAnsi="宋体" w:cs="宋体"/>
          <w:color w:val="000000"/>
          <w:sz w:val="21"/>
          <w:szCs w:val="21"/>
        </w:rPr>
        <w:t>闭合后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两灯泡两端连接在一起为并联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测量干路电流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测量通过电灯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的电流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电压表测量并联电路两端电压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;220;1×10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-4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0.46　8.5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0.3;</w:t>
      </w:r>
      <w:r>
        <w:rPr>
          <w:rFonts w:ascii="宋体" w:eastAsia="宋体" w:hAnsi="宋体" w:cs="宋体"/>
          <w:color w:val="000000"/>
          <w:sz w:val="21"/>
          <w:szCs w:val="21"/>
        </w:rPr>
        <w:t>铜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2.3 V;5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宋体" w:eastAsia="宋体" w:hAnsi="宋体" w:cs="宋体"/>
          <w:color w:val="000000"/>
          <w:sz w:val="21"/>
          <w:szCs w:val="21"/>
        </w:rPr>
        <w:t>不能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电压表虽然并联在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宋体" w:eastAsia="宋体" w:hAnsi="宋体" w:cs="宋体"/>
          <w:color w:val="000000"/>
          <w:sz w:val="21"/>
          <w:szCs w:val="21"/>
        </w:rPr>
        <w:t>的两端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但正负接线柱接反了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指针反向偏转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无法显示示数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电压表量程选错了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(2)</w:t>
      </w:r>
      <w:r>
        <w:rPr>
          <w:rFonts w:ascii="宋体" w:eastAsia="宋体" w:hAnsi="宋体" w:cs="宋体"/>
          <w:color w:val="000000"/>
          <w:sz w:val="21"/>
          <w:szCs w:val="21"/>
        </w:rPr>
        <w:t>电压表并联在导线两端了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(3)</w:t>
      </w:r>
      <w:r>
        <w:rPr>
          <w:rFonts w:ascii="宋体" w:eastAsia="宋体" w:hAnsi="宋体" w:cs="宋体"/>
          <w:color w:val="000000"/>
          <w:sz w:val="21"/>
          <w:szCs w:val="21"/>
        </w:rPr>
        <w:t>电压表的正负接线柱接反了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他出现错误的原因是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他读数时误将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0~3 V</w:t>
      </w:r>
      <w:r>
        <w:rPr>
          <w:rFonts w:ascii="宋体" w:eastAsia="宋体" w:hAnsi="宋体" w:cs="宋体"/>
          <w:color w:val="000000"/>
          <w:sz w:val="21"/>
          <w:szCs w:val="21"/>
        </w:rPr>
        <w:t>量程按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0~15 V</w:t>
      </w:r>
      <w:r>
        <w:rPr>
          <w:rFonts w:ascii="宋体" w:eastAsia="宋体" w:hAnsi="宋体" w:cs="宋体"/>
          <w:color w:val="000000"/>
          <w:sz w:val="21"/>
          <w:szCs w:val="21"/>
        </w:rPr>
        <w:t>量程读数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从题意中可知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电源是两节干电池串联组成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所以电源电压最多只有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V,</w:t>
      </w:r>
      <w:r>
        <w:rPr>
          <w:rFonts w:ascii="宋体" w:eastAsia="宋体" w:hAnsi="宋体" w:cs="宋体"/>
          <w:color w:val="000000"/>
          <w:sz w:val="21"/>
          <w:szCs w:val="21"/>
        </w:rPr>
        <w:t>所以该同学读数是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V</w:t>
      </w:r>
      <w:r>
        <w:rPr>
          <w:rFonts w:ascii="宋体" w:eastAsia="宋体" w:hAnsi="宋体" w:cs="宋体"/>
          <w:color w:val="000000"/>
          <w:sz w:val="21"/>
          <w:szCs w:val="21"/>
        </w:rPr>
        <w:t>明显偏大了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原因就是他读数时误将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量程按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V</w:t>
      </w:r>
      <w:r>
        <w:rPr>
          <w:rFonts w:ascii="宋体" w:eastAsia="宋体" w:hAnsi="宋体" w:cs="宋体"/>
          <w:color w:val="000000"/>
          <w:sz w:val="21"/>
          <w:szCs w:val="21"/>
        </w:rPr>
        <w:t>量程进行读数了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电压表的两个量程之间的关系正好是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>倍的关系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当指针指在某一刻度时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对应的示数有两个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15 V</w:t>
      </w:r>
      <w:r>
        <w:rPr>
          <w:rFonts w:ascii="宋体" w:eastAsia="宋体" w:hAnsi="宋体" w:cs="宋体"/>
          <w:color w:val="000000"/>
          <w:sz w:val="21"/>
          <w:szCs w:val="21"/>
        </w:rPr>
        <w:t>量程进行的读数是按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 V</w:t>
      </w:r>
      <w:r>
        <w:rPr>
          <w:rFonts w:ascii="宋体" w:eastAsia="宋体" w:hAnsi="宋体" w:cs="宋体"/>
          <w:color w:val="000000"/>
          <w:sz w:val="21"/>
          <w:szCs w:val="21"/>
        </w:rPr>
        <w:t>量程进行读数的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宋体" w:eastAsia="宋体" w:hAnsi="宋体" w:cs="宋体"/>
          <w:color w:val="000000"/>
          <w:sz w:val="21"/>
          <w:szCs w:val="21"/>
        </w:rPr>
        <w:t>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实际电压应是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 V.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21.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051560" cy="716280"/>
            <wp:effectExtent l="0" t="0" r="0" b="0"/>
            <wp:docPr id="733045277" name="0 Imagen" descr="images/46e41208-9cef-45fc-80d9-3dabe01561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45277" name="0 Imagen" descr="images/46e41208-9cef-45fc-80d9-3dabe015615e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22.(1)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或发光二极管等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可以根据电流表指针的偏转方向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发光二极管的单向导电性判断电池的正负极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如图答所示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56945" cy="950595"/>
            <wp:effectExtent l="0" t="0" r="0" b="0"/>
            <wp:docPr id="758774584" name="0 Imagen" descr="images/e0c950b2-f840-49be-aac1-05d4a6d009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74584" name="0 Imagen" descr="images/e0c950b2-f840-49be-aac1-05d4a6d0095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电压表在测量电压时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一定要并联在用电器的两端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因此电压表应并联在苹果电池的两端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并用开关控制电压表与电池的连接与断开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据此连接电路图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电极插入苹果的深度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欲探究苹果电池电压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sz w:val="21"/>
          <w:szCs w:val="21"/>
        </w:rPr>
        <w:t>大小是否和电极插入苹果的深度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rFonts w:ascii="宋体" w:eastAsia="宋体" w:hAnsi="宋体" w:cs="宋体"/>
          <w:color w:val="000000"/>
          <w:sz w:val="21"/>
          <w:szCs w:val="21"/>
        </w:rPr>
        <w:t>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需要保持其他条件不变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只改变电极插入苹果的深度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h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(4)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0.30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根据实验情况可知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水果电池产生的电压很小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据此可以确定电压表选用的是小量程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由图示读出电压表示数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(5)  【答案】</w:t>
      </w:r>
      <w:r>
        <w:rPr>
          <w:rFonts w:ascii="宋体" w:eastAsia="宋体" w:hAnsi="宋体" w:cs="宋体"/>
          <w:color w:val="000000"/>
          <w:sz w:val="21"/>
          <w:szCs w:val="21"/>
        </w:rPr>
        <w:t>苹果电池的电压大小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U</w:t>
      </w:r>
      <w:r>
        <w:rPr>
          <w:rFonts w:ascii="宋体" w:eastAsia="宋体" w:hAnsi="宋体" w:cs="宋体"/>
          <w:color w:val="000000"/>
          <w:sz w:val="21"/>
          <w:szCs w:val="21"/>
        </w:rPr>
        <w:t>随电极插入苹果深度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h</w:t>
      </w:r>
      <w:r>
        <w:rPr>
          <w:rFonts w:ascii="宋体" w:eastAsia="宋体" w:hAnsi="宋体" w:cs="宋体"/>
          <w:color w:val="000000"/>
          <w:sz w:val="21"/>
          <w:szCs w:val="21"/>
        </w:rPr>
        <w:t>的增加而增大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分析表格中数据可知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电池电压和电极插入苹果的深度成正比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(6)  【答案】</w:t>
      </w:r>
      <w:r>
        <w:rPr>
          <w:rFonts w:ascii="宋体" w:eastAsia="宋体" w:hAnsi="宋体" w:cs="宋体"/>
          <w:color w:val="000000"/>
          <w:sz w:val="21"/>
          <w:szCs w:val="21"/>
        </w:rPr>
        <w:t>苹果的种类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或苹果大小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两电极间的距离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电极面积大小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电极材料等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苹果电池电压的大小可能还受苹果的种类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苹果大小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两电极间的距离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电极面积大小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电极材料等因素的影响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qFormat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qFormat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qFormat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qFormat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header" Target="header1.xml" /><Relationship Id="rId28" Type="http://schemas.openxmlformats.org/officeDocument/2006/relationships/header" Target="header2.xm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footer" Target="footer2.xml" /><Relationship Id="rId31" Type="http://schemas.openxmlformats.org/officeDocument/2006/relationships/header" Target="header3.xml" /><Relationship Id="rId32" Type="http://schemas.openxmlformats.org/officeDocument/2006/relationships/footer" Target="footer3.xml" /><Relationship Id="rId33" Type="http://schemas.openxmlformats.org/officeDocument/2006/relationships/theme" Target="theme/theme1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