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42"/>
        </w:rPr>
        <w:drawing>
          <wp:anchor simplePos="0" relativeHeight="251658240" behindDoc="0" locked="0" layoutInCell="1" allowOverlap="1">
            <wp:simplePos x="0" y="0"/>
            <wp:positionH relativeFrom="page">
              <wp:posOffset>12065000</wp:posOffset>
            </wp:positionH>
            <wp:positionV relativeFrom="topMargin">
              <wp:posOffset>11988800</wp:posOffset>
            </wp:positionV>
            <wp:extent cx="444500" cy="4318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28819" name=""/>
                    <pic:cNvPicPr>
                      <a:picLocks noChangeAspect="1"/>
                    </pic:cNvPicPr>
                  </pic:nvPicPr>
                  <pic:blipFill>
                    <a:blip xmlns:r="http://schemas.openxmlformats.org/officeDocument/2006/relationships" r:embed="rId5"/>
                    <a:stretch>
                      <a:fillRect/>
                    </a:stretch>
                  </pic:blipFill>
                  <pic:spPr>
                    <a:xfrm>
                      <a:off x="0" y="0"/>
                      <a:ext cx="444500" cy="431800"/>
                    </a:xfrm>
                    <a:prstGeom prst="rect">
                      <a:avLst/>
                    </a:prstGeom>
                  </pic:spPr>
                </pic:pic>
              </a:graphicData>
            </a:graphic>
          </wp:anchor>
        </w:drawing>
      </w:r>
      <w:r>
        <w:rPr>
          <w:rFonts w:ascii="Times New Roman" w:eastAsia="宋体" w:hAnsi="宋体"/>
          <w:b/>
          <w:sz w:val="42"/>
        </w:rPr>
        <w:t>模块六</w:t>
      </w:r>
      <w:r>
        <w:rPr>
          <w:rFonts w:ascii="Times New Roman" w:eastAsia="宋体" w:hAnsi="宋体"/>
          <w:sz w:val="42"/>
        </w:rPr>
        <w:t>　</w:t>
      </w:r>
      <w:r>
        <w:rPr>
          <w:rFonts w:ascii="Times New Roman" w:eastAsia="宋体" w:hAnsi="宋体"/>
          <w:b/>
          <w:sz w:val="42"/>
        </w:rPr>
        <w:t>信息与能源</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998220" cy="234950"/>
            <wp:effectExtent l="0" t="0" r="11430" b="12700"/>
            <wp:docPr id="1090" name="19思维导图.EPS" descr="id:21475118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84970" name="19思维导图.EPS" descr="id:2147511843;FounderCES"/>
                    <pic:cNvPicPr>
                      <a:picLocks noChangeAspect="1"/>
                    </pic:cNvPicPr>
                  </pic:nvPicPr>
                  <pic:blipFill>
                    <a:blip xmlns:r="http://schemas.openxmlformats.org/officeDocument/2006/relationships" r:embed="rId6"/>
                    <a:stretch>
                      <a:fillRect/>
                    </a:stretch>
                  </pic:blipFill>
                  <pic:spPr>
                    <a:xfrm>
                      <a:off x="0" y="0"/>
                      <a:ext cx="998280" cy="235440"/>
                    </a:xfrm>
                    <a:prstGeom prst="rect">
                      <a:avLst/>
                    </a:prstGeom>
                  </pic:spPr>
                </pic:pic>
              </a:graphicData>
            </a:graphic>
          </wp:inline>
        </w:drawing>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6272530" cy="6965950"/>
            <wp:effectExtent l="0" t="0" r="13970" b="6350"/>
            <wp:docPr id="1091" name="19ZFWQ65.EPS" descr="id:21475118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609" name="19ZFWQ65.EPS" descr="id:2147511850;FounderCES"/>
                    <pic:cNvPicPr>
                      <a:picLocks noChangeAspect="1"/>
                    </pic:cNvPicPr>
                  </pic:nvPicPr>
                  <pic:blipFill>
                    <a:blip xmlns:r="http://schemas.openxmlformats.org/officeDocument/2006/relationships" r:embed="rId7"/>
                    <a:stretch>
                      <a:fillRect/>
                    </a:stretch>
                  </pic:blipFill>
                  <pic:spPr>
                    <a:xfrm>
                      <a:off x="0" y="0"/>
                      <a:ext cx="6272640" cy="69663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Arial" w:eastAsia="黑体" w:hAnsi="黑体"/>
          <w:sz w:val="36"/>
        </w:rPr>
        <w:t>专题</w:t>
      </w:r>
      <w:r>
        <w:rPr>
          <w:rFonts w:ascii="Times New Roman" w:eastAsia="宋体" w:hAnsi="宋体"/>
          <w:sz w:val="36"/>
        </w:rPr>
        <w:t>　</w:t>
      </w:r>
      <w:r>
        <w:rPr>
          <w:rFonts w:ascii="Arial" w:eastAsia="黑体" w:hAnsi="黑体"/>
          <w:sz w:val="36"/>
        </w:rPr>
        <w:t>信息的传递</w:t>
      </w:r>
      <w:r>
        <w:rPr>
          <w:rFonts w:ascii="Times New Roman" w:eastAsia="宋体" w:hAnsi="宋体"/>
          <w:sz w:val="36"/>
        </w:rPr>
        <w:t>　</w:t>
      </w:r>
      <w:r>
        <w:rPr>
          <w:rFonts w:ascii="Arial" w:eastAsia="黑体" w:hAnsi="黑体"/>
          <w:sz w:val="36"/>
        </w:rPr>
        <w:t>能源与可持续发展</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6290945" cy="358140"/>
            <wp:effectExtent l="0" t="0" r="14605" b="3810"/>
            <wp:docPr id="1092" name="19大标2.EPS" descr="id:21475118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64618" name="19大标2.EPS" descr="id:2147511857;FounderCES"/>
                    <pic:cNvPicPr>
                      <a:picLocks noChangeAspect="1"/>
                    </pic:cNvPicPr>
                  </pic:nvPicPr>
                  <pic:blipFill>
                    <a:blip xmlns:r="http://schemas.openxmlformats.org/officeDocument/2006/relationships" r:embed="rId8"/>
                    <a:stretch>
                      <a:fillRect/>
                    </a:stretch>
                  </pic:blipFill>
                  <pic:spPr>
                    <a:xfrm>
                      <a:off x="0" y="0"/>
                      <a:ext cx="6291000" cy="35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宋体"/>
        </w:rPr>
        <w:t>中考真题再现</w:t>
      </w:r>
      <w:r>
        <w:rPr>
          <w:rFonts w:ascii="Times New Roman" w:eastAsia="宋体" w:hAnsi="宋体"/>
          <w:sz w:val="28"/>
        </w:rPr>
        <w:t xml:space="preserve">(  </w:t>
      </w:r>
      <w:r>
        <w:rPr>
          <w:rFonts w:eastAsia="NEU-BZ-S92"/>
          <w:sz w:val="32"/>
        </w:rPr>
        <w:t>☞</w:t>
      </w:r>
      <w:r>
        <w:rPr>
          <w:rFonts w:ascii="Times New Roman" w:eastAsia="宋体" w:hAnsi="宋体"/>
        </w:rPr>
        <w:t>学用见</w:t>
      </w:r>
      <w:r>
        <w:rPr>
          <w:rFonts w:ascii="Times New Roman" w:eastAsia="宋体" w:hAnsi="Times New Roman"/>
        </w:rPr>
        <w:t>P112</w:t>
      </w:r>
      <w:r>
        <w:rPr>
          <w:rFonts w:ascii="Times New Roman" w:eastAsia="宋体" w:hAnsi="宋体"/>
        </w:rPr>
        <w:t xml:space="preserve">  )</w:t>
      </w:r>
      <w:r>
        <w:rPr>
          <w:rFonts w:ascii="Times New Roman" w:eastAsia="仿宋" w:hAnsi="仿宋"/>
          <w:sz w:val="22"/>
        </w:rPr>
        <w:t>探究规律</w:t>
      </w:r>
      <w:r>
        <w:rPr>
          <w:rFonts w:ascii="Times New Roman" w:eastAsia="宋体" w:hAnsi="宋体"/>
          <w:sz w:val="22"/>
        </w:rPr>
        <w:t>　</w:t>
      </w:r>
      <w:r>
        <w:rPr>
          <w:rFonts w:ascii="Times New Roman" w:eastAsia="仿宋" w:hAnsi="仿宋"/>
          <w:sz w:val="22"/>
        </w:rPr>
        <w:t>对接中考</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69875"/>
            <wp:effectExtent l="0" t="0" r="635" b="15875"/>
            <wp:docPr id="1093" name="19命题1-CS.EPS" descr="id:214751186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07725" name="19命题1-CS.EPS" descr="id:2147511864;FounderCES"/>
                    <pic:cNvPicPr>
                      <a:picLocks noChangeAspect="1"/>
                    </pic:cNvPicPr>
                  </pic:nvPicPr>
                  <pic:blipFill>
                    <a:blip xmlns:r="http://schemas.openxmlformats.org/officeDocument/2006/relationships" r:embed="rId9"/>
                    <a:stretch>
                      <a:fillRect/>
                    </a:stretch>
                  </pic:blipFill>
                  <pic:spPr>
                    <a:xfrm>
                      <a:off x="0" y="0"/>
                      <a:ext cx="3085920" cy="27000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命题点</w:t>
      </w:r>
      <w:r>
        <w:rPr>
          <w:rFonts w:ascii="Times New Roman" w:eastAsia="宋体" w:hAnsi="宋体"/>
        </w:rPr>
        <w:t>　</w:t>
      </w:r>
      <w:r>
        <w:rPr>
          <w:rFonts w:ascii="Arial" w:eastAsia="黑体" w:hAnsi="黑体"/>
        </w:rPr>
        <w:t>信息的传递</w:t>
      </w:r>
      <w:r>
        <w:rPr>
          <w:rFonts w:ascii="Times New Roman" w:eastAsia="宋体" w:hAnsi="宋体"/>
        </w:rPr>
        <w:t>,</w:t>
      </w:r>
      <w:r>
        <w:rPr>
          <w:rFonts w:ascii="Arial" w:eastAsia="黑体" w:hAnsi="黑体"/>
        </w:rPr>
        <w:t>能源与能量守恒</w:t>
      </w:r>
      <w:r>
        <w:rPr>
          <w:rFonts w:ascii="Times New Roman" w:eastAsia="宋体" w:hAnsi="宋体"/>
        </w:rPr>
        <w:t xml:space="preserve">(  </w:t>
      </w:r>
      <w:r>
        <w:rPr>
          <w:rFonts w:ascii="Arial" w:eastAsia="黑体" w:hAnsi="黑体"/>
        </w:rPr>
        <w:t>不常考</w:t>
      </w:r>
      <w:r>
        <w:rPr>
          <w:rFonts w:ascii="Times New Roman" w:eastAsia="宋体" w:hAnsi="宋体"/>
        </w:rPr>
        <w:t xml:space="preserve">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安徽第</w:t>
      </w:r>
      <w:r>
        <w:rPr>
          <w:rFonts w:ascii="Times New Roman" w:eastAsia="宋体" w:hAnsi="Times New Roman"/>
        </w:rPr>
        <w:t>11</w:t>
      </w:r>
      <w:r>
        <w:rPr>
          <w:rFonts w:ascii="Times New Roman" w:eastAsia="楷体" w:hAnsi="楷体"/>
        </w:rPr>
        <w:t>题</w:t>
      </w:r>
      <w:r>
        <w:rPr>
          <w:rFonts w:ascii="Times New Roman" w:eastAsia="宋体" w:hAnsi="宋体"/>
        </w:rPr>
        <w:t xml:space="preserve">  )下列说法正确的是</w:t>
      </w:r>
      <w:r>
        <w:rPr>
          <w:rFonts w:ascii="Times New Roman" w:eastAsia="宋体" w:hAnsi="Times New Roman"/>
        </w:rPr>
        <w:t xml:space="preserve">( </w:t>
      </w:r>
      <w:r>
        <w:rPr>
          <w:rFonts w:ascii="Times New Roman" w:eastAsia="宋体" w:hAnsi="宋体"/>
        </w:rPr>
        <w:t xml:space="preserve"> </w:t>
      </w:r>
      <w:r>
        <w:rPr>
          <w:rFonts w:ascii="Times New Roman" w:eastAsia="宋体" w:hAnsi="Times New Roman"/>
          <w:color w:val="FF00FF"/>
        </w:rPr>
        <w:t>C</w:t>
      </w:r>
      <w:r>
        <w:rPr>
          <w:rFonts w:ascii="Times New Roman" w:eastAsia="宋体" w:hAnsi="宋体"/>
        </w:rPr>
        <w:t xml:space="preserve">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物体的速度越大,其惯性越大</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电磁波不能在真空中传播</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摩擦起电的实质是电子从一个物体转移到了另一个物体</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磁感线是磁场中真实存在的曲线</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宋体" w:hAnsi="宋体"/>
          <w:color w:val="FF00FF"/>
        </w:rPr>
        <w:t>惯性只与质量有关,与速度无关,</w:t>
      </w:r>
      <w:r>
        <w:rPr>
          <w:rFonts w:ascii="Times New Roman" w:eastAsia="宋体" w:hAnsi="Times New Roman"/>
          <w:color w:val="FF00FF"/>
        </w:rPr>
        <w:t>A</w:t>
      </w:r>
      <w:r>
        <w:rPr>
          <w:rFonts w:ascii="Times New Roman" w:eastAsia="宋体" w:hAnsi="宋体"/>
          <w:color w:val="FF00FF"/>
        </w:rPr>
        <w:t>项错误;电磁波能在真空中传播,</w:t>
      </w:r>
      <w:r>
        <w:rPr>
          <w:rFonts w:ascii="Times New Roman" w:eastAsia="宋体" w:hAnsi="Times New Roman"/>
          <w:color w:val="FF00FF"/>
        </w:rPr>
        <w:t>B</w:t>
      </w:r>
      <w:r>
        <w:rPr>
          <w:rFonts w:ascii="Times New Roman" w:eastAsia="宋体" w:hAnsi="宋体"/>
          <w:color w:val="FF00FF"/>
        </w:rPr>
        <w:t>项错误;摩擦起电的实质是电子的转移,即电子从一个物体转移到另一个物体,</w:t>
      </w:r>
      <w:r>
        <w:rPr>
          <w:rFonts w:ascii="Times New Roman" w:eastAsia="宋体" w:hAnsi="Times New Roman"/>
          <w:color w:val="FF00FF"/>
        </w:rPr>
        <w:t>C</w:t>
      </w:r>
      <w:r>
        <w:rPr>
          <w:rFonts w:ascii="Times New Roman" w:eastAsia="宋体" w:hAnsi="宋体"/>
          <w:color w:val="FF00FF"/>
        </w:rPr>
        <w:t>项正确;磁感线是为了直观形象地描述磁场而引入的,是假想的曲线,实际上是不存在的,</w:t>
      </w:r>
      <w:r>
        <w:rPr>
          <w:rFonts w:ascii="Times New Roman" w:eastAsia="宋体" w:hAnsi="Times New Roman"/>
          <w:color w:val="FF00FF"/>
        </w:rPr>
        <w:t>D</w:t>
      </w:r>
      <w:r>
        <w:rPr>
          <w:rFonts w:ascii="Times New Roman" w:eastAsia="宋体" w:hAnsi="宋体"/>
          <w:color w:val="FF00FF"/>
        </w:rPr>
        <w:t>项错误。</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2011</w:t>
      </w:r>
      <w:r>
        <w:rPr>
          <w:rFonts w:ascii="Times New Roman" w:eastAsia="宋体" w:hAnsi="Times New Roman" w:cs="Times New Roman"/>
        </w:rPr>
        <w:t>·</w:t>
      </w:r>
      <w:r>
        <w:rPr>
          <w:rFonts w:ascii="Times New Roman" w:eastAsia="楷体" w:hAnsi="楷体"/>
        </w:rPr>
        <w:t>安徽第</w:t>
      </w:r>
      <w:r>
        <w:rPr>
          <w:rFonts w:ascii="Times New Roman" w:eastAsia="宋体" w:hAnsi="Times New Roman"/>
        </w:rPr>
        <w:t>11</w:t>
      </w:r>
      <w:r>
        <w:rPr>
          <w:rFonts w:ascii="Times New Roman" w:eastAsia="楷体" w:hAnsi="楷体"/>
        </w:rPr>
        <w:t>题</w:t>
      </w:r>
      <w:r>
        <w:rPr>
          <w:rFonts w:ascii="Times New Roman" w:eastAsia="宋体" w:hAnsi="宋体"/>
        </w:rPr>
        <w:t xml:space="preserve">  )能源、信息、材料是现代社会发展的三大支柱,下列说法正确的是</w:t>
      </w:r>
      <w:r>
        <w:rPr>
          <w:rFonts w:ascii="Times New Roman" w:eastAsia="宋体" w:hAnsi="Times New Roman"/>
        </w:rPr>
        <w:t xml:space="preserve">( </w:t>
      </w:r>
      <w:r>
        <w:rPr>
          <w:rFonts w:ascii="Times New Roman" w:eastAsia="宋体" w:hAnsi="宋体"/>
        </w:rPr>
        <w:t xml:space="preserve"> </w:t>
      </w:r>
      <w:r>
        <w:rPr>
          <w:rFonts w:ascii="Times New Roman" w:eastAsia="宋体" w:hAnsi="Times New Roman"/>
          <w:color w:val="FF00FF"/>
        </w:rPr>
        <w:t>D</w:t>
      </w:r>
      <w:r>
        <w:rPr>
          <w:rFonts w:ascii="Times New Roman" w:eastAsia="宋体" w:hAnsi="宋体"/>
        </w:rPr>
        <w:t xml:space="preserve">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太阳能、风能和核能都是可再生能源</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光纤通信是依靠超声波来传递信息的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在通常情况下,铜、碳棒和陶瓷都属于导体</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秦山核电站是利用原子核裂变释放的核能来发电的</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6290945" cy="358140"/>
            <wp:effectExtent l="0" t="0" r="14605" b="3810"/>
            <wp:docPr id="1094" name="19大标2.EPS" descr="id:21475118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89901" name="19大标2.EPS" descr="id:2147511871;FounderCES"/>
                    <pic:cNvPicPr>
                      <a:picLocks noChangeAspect="1"/>
                    </pic:cNvPicPr>
                  </pic:nvPicPr>
                  <pic:blipFill>
                    <a:blip xmlns:r="http://schemas.openxmlformats.org/officeDocument/2006/relationships" r:embed="rId10"/>
                    <a:stretch>
                      <a:fillRect/>
                    </a:stretch>
                  </pic:blipFill>
                  <pic:spPr>
                    <a:xfrm>
                      <a:off x="0" y="0"/>
                      <a:ext cx="6291000" cy="35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宋体"/>
        </w:rPr>
        <w:t>名师考点精讲</w:t>
      </w:r>
      <w:r>
        <w:rPr>
          <w:rFonts w:ascii="Times New Roman" w:eastAsia="宋体" w:hAnsi="宋体"/>
          <w:sz w:val="28"/>
        </w:rPr>
        <w:t xml:space="preserve">(  </w:t>
      </w:r>
      <w:r>
        <w:rPr>
          <w:rFonts w:eastAsia="NEU-BZ-S92"/>
          <w:sz w:val="32"/>
        </w:rPr>
        <w:t>☞</w:t>
      </w:r>
      <w:r>
        <w:rPr>
          <w:rFonts w:ascii="Times New Roman" w:eastAsia="宋体" w:hAnsi="宋体"/>
        </w:rPr>
        <w:t>学用见</w:t>
      </w:r>
      <w:r>
        <w:rPr>
          <w:rFonts w:ascii="Times New Roman" w:eastAsia="宋体" w:hAnsi="Times New Roman"/>
        </w:rPr>
        <w:t>P112~113</w:t>
      </w:r>
      <w:r>
        <w:rPr>
          <w:rFonts w:ascii="Times New Roman" w:eastAsia="宋体" w:hAnsi="宋体"/>
        </w:rPr>
        <w:t xml:space="preserve">  )</w:t>
      </w:r>
      <w:r>
        <w:rPr>
          <w:rFonts w:ascii="Times New Roman" w:eastAsia="仿宋" w:hAnsi="仿宋"/>
          <w:sz w:val="22"/>
        </w:rPr>
        <w:t>学思结合</w:t>
      </w:r>
      <w:r>
        <w:rPr>
          <w:rFonts w:ascii="Times New Roman" w:eastAsia="宋体" w:hAnsi="宋体"/>
          <w:sz w:val="22"/>
        </w:rPr>
        <w:t>　</w:t>
      </w:r>
      <w:r>
        <w:rPr>
          <w:rFonts w:ascii="Times New Roman" w:eastAsia="仿宋" w:hAnsi="仿宋"/>
          <w:sz w:val="22"/>
        </w:rPr>
        <w:t>高效突破</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87020"/>
            <wp:effectExtent l="0" t="0" r="635" b="17780"/>
            <wp:docPr id="1095" name="19考点-物理-CS.EPS" descr="id:21475118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19576" name="19考点-物理-CS.EPS" descr="id:2147511878;FounderCES"/>
                    <pic:cNvPicPr>
                      <a:picLocks noChangeAspect="1"/>
                    </pic:cNvPicPr>
                  </pic:nvPicPr>
                  <pic:blipFill>
                    <a:blip xmlns:r="http://schemas.openxmlformats.org/officeDocument/2006/relationships" r:embed="rId11"/>
                    <a:stretch>
                      <a:fillRect/>
                    </a:stretch>
                  </pic:blipFill>
                  <pic:spPr>
                    <a:xfrm>
                      <a:off x="0" y="0"/>
                      <a:ext cx="3085920" cy="287280"/>
                    </a:xfrm>
                    <a:prstGeom prst="rect">
                      <a:avLst/>
                    </a:prstGeom>
                  </pic:spPr>
                </pic:pic>
              </a:graphicData>
            </a:graphic>
          </wp:inline>
        </w:drawing>
      </w:r>
    </w:p>
    <w:p>
      <w:pPr>
        <w:tabs>
          <w:tab w:val="left" w:pos="1871"/>
          <w:tab w:val="left" w:pos="3407"/>
          <w:tab w:val="left" w:pos="4949"/>
          <w:tab w:val="left" w:pos="6599"/>
        </w:tabs>
      </w:pPr>
      <w:r>
        <w:rPr>
          <w:rFonts w:ascii="Arial" w:eastAsia="黑体" w:hAnsi="黑体"/>
        </w:rPr>
        <w:t>考点一信息的传递</w:t>
      </w:r>
    </w:p>
    <w:tbl>
      <w:tblPr>
        <w:tblStyle w:val="TableNormal"/>
        <w:tblW w:w="8434" w:type="dxa"/>
        <w:jc w:val="center"/>
        <w:tblInd w:w="-6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531"/>
        <w:gridCol w:w="680"/>
        <w:gridCol w:w="4870"/>
        <w:gridCol w:w="2353"/>
      </w:tblGrid>
      <w:tr>
        <w:tblPrEx>
          <w:tblW w:w="8434" w:type="dxa"/>
          <w:jc w:val="center"/>
          <w:tblInd w:w="-6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trHeight w:val="303"/>
          <w:jc w:val="center"/>
        </w:trPr>
        <w:tc>
          <w:tcPr>
            <w:tcW w:w="531" w:type="dxa"/>
            <w:vMerge w:val="restart"/>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电磁</w:t>
            </w:r>
          </w:p>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波及</w:t>
            </w:r>
          </w:p>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其应</w:t>
            </w:r>
          </w:p>
          <w:p>
            <w:pPr>
              <w:tabs>
                <w:tab w:val="left" w:pos="1871"/>
                <w:tab w:val="left" w:pos="3407"/>
                <w:tab w:val="left" w:pos="4949"/>
                <w:tab w:val="left" w:pos="6599"/>
              </w:tabs>
              <w:jc w:val="center"/>
              <w:rPr>
                <w:sz w:val="18"/>
              </w:rPr>
            </w:pPr>
            <w:r>
              <w:rPr>
                <w:rFonts w:ascii="Times New Roman" w:eastAsia="宋体" w:hAnsi="宋体"/>
                <w:sz w:val="18"/>
              </w:rPr>
              <w:t>用</w:t>
            </w: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产生</w:t>
            </w:r>
          </w:p>
        </w:tc>
        <w:tc>
          <w:tcPr>
            <w:tcW w:w="4870"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导线中电流迅速发生变化会在空间激起电磁波</w:t>
            </w:r>
          </w:p>
        </w:tc>
        <w:tc>
          <w:tcPr>
            <w:tcW w:w="2353" w:type="dxa"/>
            <w:vMerge w:val="restart"/>
            <w:shd w:val="clear" w:color="auto" w:fill="auto"/>
            <w:tcMar>
              <w:left w:w="105" w:type="dxa"/>
              <w:right w:w="105" w:type="dxa"/>
            </w:tcMar>
            <w:vAlign w:val="center"/>
          </w:tcPr>
          <w:p>
            <w:pPr>
              <w:tabs>
                <w:tab w:val="left" w:pos="1871"/>
                <w:tab w:val="left" w:pos="3407"/>
                <w:tab w:val="left" w:pos="4949"/>
                <w:tab w:val="left" w:pos="6599"/>
              </w:tabs>
              <w:rPr>
                <w:rFonts w:ascii="Times New Roman" w:eastAsia="宋体" w:hAnsi="Times New Roman"/>
                <w:sz w:val="18"/>
              </w:rPr>
            </w:pPr>
            <w:r>
              <w:rPr>
                <w:rFonts w:ascii="Times New Roman" w:eastAsia="宋体" w:hAnsi="宋体"/>
                <w:sz w:val="18"/>
              </w:rPr>
              <w:t>波速</w:t>
            </w:r>
            <w:r>
              <w:rPr>
                <w:rFonts w:ascii="Times New Roman" w:eastAsia="宋体" w:hAnsi="Times New Roman"/>
                <w:sz w:val="18"/>
              </w:rPr>
              <w:t>=</w:t>
            </w:r>
            <w:r>
              <w:rPr>
                <w:rFonts w:ascii="Times New Roman" w:eastAsia="宋体" w:hAnsi="宋体"/>
                <w:sz w:val="18"/>
              </w:rPr>
              <w:t>波长</w:t>
            </w:r>
            <w:r>
              <w:rPr>
                <w:rFonts w:ascii="Times New Roman" w:eastAsia="宋体" w:hAnsi="Times New Roman" w:cs="Times New Roman"/>
                <w:sz w:val="18"/>
              </w:rPr>
              <w:t>×</w:t>
            </w:r>
            <w:r>
              <w:rPr>
                <w:rFonts w:ascii="Times New Roman" w:eastAsia="宋体" w:hAnsi="宋体"/>
                <w:sz w:val="18"/>
              </w:rPr>
              <w:t>频率</w:t>
            </w:r>
          </w:p>
          <w:p>
            <w:pPr>
              <w:tabs>
                <w:tab w:val="left" w:pos="1871"/>
                <w:tab w:val="left" w:pos="3407"/>
                <w:tab w:val="left" w:pos="4949"/>
                <w:tab w:val="left" w:pos="6599"/>
              </w:tabs>
              <w:rPr>
                <w:rFonts w:ascii="Times New Roman" w:eastAsia="宋体" w:hAnsi="Times New Roman"/>
                <w:sz w:val="18"/>
              </w:rPr>
            </w:pPr>
            <w:r>
              <w:rPr>
                <w:rFonts w:ascii="Times New Roman" w:eastAsia="宋体" w:hAnsi="宋体"/>
                <w:sz w:val="18"/>
              </w:rPr>
              <w:t>即</w:t>
            </w:r>
            <w:r>
              <w:rPr>
                <w:rFonts w:ascii="Times New Roman" w:eastAsia="宋体" w:hAnsi="Times New Roman"/>
                <w:i/>
                <w:sz w:val="18"/>
              </w:rPr>
              <w:t>c=f</w:t>
            </w:r>
            <w:r>
              <w:rPr>
                <w:rFonts w:ascii="Times New Roman" w:eastAsia="Microsoft Yi Baiti" w:hAnsi="Times New Roman" w:cs="Times New Roman"/>
                <w:i/>
                <w:sz w:val="18"/>
              </w:rPr>
              <w:t>λ</w:t>
            </w:r>
            <w:r>
              <w:rPr>
                <w:rFonts w:ascii="Times New Roman" w:eastAsia="宋体" w:hAnsi="宋体"/>
                <w:sz w:val="18"/>
              </w:rPr>
              <w:t>。波长越长,频率越</w:t>
            </w:r>
          </w:p>
          <w:p>
            <w:pPr>
              <w:tabs>
                <w:tab w:val="left" w:pos="1871"/>
                <w:tab w:val="left" w:pos="3407"/>
                <w:tab w:val="left" w:pos="4949"/>
                <w:tab w:val="left" w:pos="6599"/>
              </w:tabs>
              <w:rPr>
                <w:sz w:val="18"/>
              </w:rPr>
            </w:pPr>
            <w:r>
              <w:rPr>
                <w:rFonts w:ascii="Times New Roman" w:eastAsia="宋体" w:hAnsi="宋体"/>
                <w:color w:val="FF00FF"/>
                <w:sz w:val="18"/>
                <w:u w:val="single" w:color="000000"/>
              </w:rPr>
              <w:t>　小(  或低  )　</w:t>
            </w:r>
            <w:r>
              <w:rPr>
                <w:rFonts w:ascii="Times New Roman" w:eastAsia="宋体" w:hAnsi="Times New Roman"/>
                <w:color w:val="FF00FF"/>
                <w:sz w:val="18"/>
                <w:u w:val="single" w:color="000000"/>
              </w:rPr>
              <w:t> </w:t>
            </w: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波速</w:t>
            </w:r>
          </w:p>
        </w:tc>
        <w:tc>
          <w:tcPr>
            <w:tcW w:w="4870"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电磁波在真空中传播速度</w:t>
            </w:r>
            <w:r>
              <w:rPr>
                <w:rFonts w:ascii="Times New Roman" w:eastAsia="宋体" w:hAnsi="Times New Roman"/>
                <w:i/>
                <w:sz w:val="18"/>
              </w:rPr>
              <w:t>c</w:t>
            </w:r>
            <w:r>
              <w:rPr>
                <w:rFonts w:ascii="Times New Roman" w:eastAsia="宋体" w:hAnsi="Times New Roman"/>
                <w:sz w:val="18"/>
              </w:rPr>
              <w:t>=</w:t>
            </w:r>
            <w:r>
              <w:rPr>
                <w:rFonts w:ascii="Times New Roman" w:eastAsia="宋体" w:hAnsi="宋体"/>
                <w:color w:val="FF00FF"/>
                <w:sz w:val="18"/>
                <w:u w:val="single" w:color="000000"/>
              </w:rPr>
              <w:t>　</w:t>
            </w:r>
            <w:r>
              <w:rPr>
                <w:rFonts w:ascii="Times New Roman" w:eastAsia="宋体" w:hAnsi="Times New Roman"/>
                <w:color w:val="FF00FF"/>
                <w:sz w:val="18"/>
                <w:u w:val="single" w:color="000000"/>
              </w:rPr>
              <w:t>3</w:t>
            </w:r>
            <w:r>
              <w:rPr>
                <w:rFonts w:ascii="Times New Roman" w:eastAsia="宋体" w:hAnsi="Times New Roman" w:cs="Times New Roman"/>
                <w:color w:val="FF00FF"/>
                <w:sz w:val="18"/>
                <w:u w:val="single" w:color="000000"/>
              </w:rPr>
              <w:t>.</w:t>
            </w:r>
            <w:r>
              <w:rPr>
                <w:rFonts w:ascii="Times New Roman" w:eastAsia="宋体" w:hAnsi="Times New Roman"/>
                <w:color w:val="FF00FF"/>
                <w:sz w:val="18"/>
                <w:u w:val="single" w:color="000000"/>
              </w:rPr>
              <w:t>0</w:t>
            </w:r>
            <w:r>
              <w:rPr>
                <w:rFonts w:ascii="Times New Roman" w:eastAsia="宋体" w:hAnsi="Times New Roman" w:cs="Times New Roman"/>
                <w:color w:val="FF00FF"/>
                <w:sz w:val="18"/>
                <w:u w:val="single" w:color="000000"/>
              </w:rPr>
              <w:t>×</w:t>
            </w:r>
            <w:r>
              <w:rPr>
                <w:rFonts w:ascii="Times New Roman" w:eastAsia="宋体" w:hAnsi="Times New Roman"/>
                <w:color w:val="FF00FF"/>
                <w:sz w:val="18"/>
                <w:u w:val="single" w:color="000000"/>
              </w:rPr>
              <w:t>10</w:t>
            </w:r>
            <w:r>
              <w:rPr>
                <w:rFonts w:ascii="Times New Roman" w:eastAsia="宋体" w:hAnsi="Times New Roman"/>
                <w:color w:val="FF00FF"/>
                <w:sz w:val="18"/>
                <w:u w:val="single" w:color="000000"/>
                <w:vertAlign w:val="superscript"/>
              </w:rPr>
              <w:t>8</w:t>
            </w:r>
            <w:r>
              <w:rPr>
                <w:rFonts w:ascii="Times New Roman" w:eastAsia="宋体" w:hAnsi="宋体"/>
                <w:color w:val="FF00FF"/>
                <w:sz w:val="18"/>
                <w:u w:val="single" w:color="000000"/>
              </w:rPr>
              <w:t>　</w:t>
            </w:r>
            <w:r>
              <w:rPr>
                <w:rFonts w:ascii="Times New Roman" w:eastAsia="宋体" w:hAnsi="Times New Roman"/>
                <w:sz w:val="18"/>
              </w:rPr>
              <w:t>m/s </w:t>
            </w:r>
          </w:p>
        </w:tc>
        <w:tc>
          <w:tcPr>
            <w:tcW w:w="2353" w:type="dxa"/>
            <w:vMerge/>
            <w:shd w:val="clear" w:color="auto" w:fill="auto"/>
            <w:tcMar>
              <w:left w:w="105" w:type="dxa"/>
              <w:right w:w="105" w:type="dxa"/>
            </w:tcMar>
            <w:vAlign w:val="center"/>
          </w:tcPr>
          <w:p>
            <w:pPr>
              <w:tabs>
                <w:tab w:val="left" w:pos="1871"/>
                <w:tab w:val="left" w:pos="3407"/>
                <w:tab w:val="left" w:pos="4949"/>
                <w:tab w:val="left" w:pos="6599"/>
              </w:tabs>
              <w:rPr>
                <w:sz w:val="18"/>
              </w:rPr>
            </w:pP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频率</w:t>
            </w:r>
          </w:p>
        </w:tc>
        <w:tc>
          <w:tcPr>
            <w:tcW w:w="4870"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电磁波每秒传播波长数,频率用符号</w:t>
            </w:r>
            <w:r>
              <w:rPr>
                <w:rFonts w:ascii="Times New Roman" w:eastAsia="宋体" w:hAnsi="Times New Roman"/>
                <w:i/>
                <w:sz w:val="18"/>
              </w:rPr>
              <w:t>f</w:t>
            </w:r>
            <w:r>
              <w:rPr>
                <w:rFonts w:ascii="Times New Roman" w:eastAsia="宋体" w:hAnsi="宋体"/>
                <w:sz w:val="18"/>
              </w:rPr>
              <w:t>表示,单位是</w:t>
            </w:r>
            <w:r>
              <w:rPr>
                <w:rFonts w:ascii="Times New Roman" w:eastAsia="宋体" w:hAnsi="宋体"/>
                <w:color w:val="FF00FF"/>
                <w:sz w:val="18"/>
                <w:u w:val="single" w:color="000000"/>
              </w:rPr>
              <w:t xml:space="preserve">　赫兹(  </w:t>
            </w:r>
            <w:r>
              <w:rPr>
                <w:rFonts w:ascii="Times New Roman" w:eastAsia="宋体" w:hAnsi="Times New Roman"/>
                <w:color w:val="FF00FF"/>
                <w:sz w:val="18"/>
                <w:u w:val="single" w:color="000000"/>
              </w:rPr>
              <w:t>Hz</w:t>
            </w:r>
            <w:r>
              <w:rPr>
                <w:rFonts w:ascii="Times New Roman" w:eastAsia="宋体" w:hAnsi="宋体"/>
                <w:color w:val="FF00FF"/>
                <w:sz w:val="18"/>
                <w:u w:val="single" w:color="000000"/>
              </w:rPr>
              <w:t xml:space="preserve">  )　</w:t>
            </w:r>
            <w:r>
              <w:rPr>
                <w:rFonts w:ascii="Times New Roman" w:eastAsia="宋体" w:hAnsi="Times New Roman"/>
                <w:color w:val="FF00FF"/>
                <w:sz w:val="18"/>
                <w:u w:val="single" w:color="000000"/>
              </w:rPr>
              <w:t> </w:t>
            </w:r>
          </w:p>
        </w:tc>
        <w:tc>
          <w:tcPr>
            <w:tcW w:w="2353" w:type="dxa"/>
            <w:vMerge/>
            <w:shd w:val="clear" w:color="auto" w:fill="auto"/>
            <w:tcMar>
              <w:left w:w="105" w:type="dxa"/>
              <w:right w:w="105" w:type="dxa"/>
            </w:tcMar>
            <w:vAlign w:val="center"/>
          </w:tcPr>
          <w:p>
            <w:pPr>
              <w:tabs>
                <w:tab w:val="left" w:pos="1871"/>
                <w:tab w:val="left" w:pos="3407"/>
                <w:tab w:val="left" w:pos="4949"/>
                <w:tab w:val="left" w:pos="6599"/>
              </w:tabs>
              <w:rPr>
                <w:sz w:val="18"/>
              </w:rPr>
            </w:pP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波长</w:t>
            </w:r>
          </w:p>
        </w:tc>
        <w:tc>
          <w:tcPr>
            <w:tcW w:w="4870"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邻近的两个波峰(  或波谷  )的距离,用符号</w:t>
            </w:r>
            <w:r>
              <w:rPr>
                <w:rFonts w:ascii="Times New Roman" w:eastAsia="Microsoft Yi Baiti" w:hAnsi="Times New Roman" w:cs="Times New Roman"/>
                <w:i/>
                <w:sz w:val="18"/>
              </w:rPr>
              <w:t>λ</w:t>
            </w:r>
            <w:r>
              <w:rPr>
                <w:rFonts w:ascii="Times New Roman" w:eastAsia="宋体" w:hAnsi="宋体"/>
                <w:sz w:val="18"/>
              </w:rPr>
              <w:t>表示,单位是米</w:t>
            </w:r>
          </w:p>
        </w:tc>
        <w:tc>
          <w:tcPr>
            <w:tcW w:w="2353" w:type="dxa"/>
            <w:vMerge/>
            <w:shd w:val="clear" w:color="auto" w:fill="auto"/>
            <w:tcMar>
              <w:left w:w="105" w:type="dxa"/>
              <w:right w:w="105" w:type="dxa"/>
            </w:tcMar>
            <w:vAlign w:val="center"/>
          </w:tcPr>
          <w:p>
            <w:pPr>
              <w:tabs>
                <w:tab w:val="left" w:pos="1871"/>
                <w:tab w:val="left" w:pos="3407"/>
                <w:tab w:val="left" w:pos="4949"/>
                <w:tab w:val="left" w:pos="6599"/>
              </w:tabs>
              <w:rPr>
                <w:sz w:val="18"/>
              </w:rPr>
            </w:pP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应用</w:t>
            </w:r>
          </w:p>
        </w:tc>
        <w:tc>
          <w:tcPr>
            <w:tcW w:w="4870"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广播、电视、移动电话的信息传递等</w:t>
            </w:r>
          </w:p>
        </w:tc>
        <w:tc>
          <w:tcPr>
            <w:tcW w:w="2353" w:type="dxa"/>
            <w:vMerge/>
            <w:shd w:val="clear" w:color="auto" w:fill="auto"/>
            <w:tcMar>
              <w:left w:w="105" w:type="dxa"/>
              <w:right w:w="105" w:type="dxa"/>
            </w:tcMar>
            <w:vAlign w:val="center"/>
          </w:tcPr>
          <w:p>
            <w:pPr>
              <w:tabs>
                <w:tab w:val="left" w:pos="1871"/>
                <w:tab w:val="left" w:pos="3407"/>
                <w:tab w:val="left" w:pos="4949"/>
                <w:tab w:val="left" w:pos="6599"/>
              </w:tabs>
              <w:rPr>
                <w:sz w:val="18"/>
              </w:rPr>
            </w:pP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val="restart"/>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信息</w:t>
            </w:r>
          </w:p>
          <w:p>
            <w:pPr>
              <w:tabs>
                <w:tab w:val="left" w:pos="1871"/>
                <w:tab w:val="left" w:pos="3407"/>
                <w:tab w:val="left" w:pos="4949"/>
                <w:tab w:val="left" w:pos="6599"/>
              </w:tabs>
              <w:jc w:val="center"/>
              <w:rPr>
                <w:sz w:val="18"/>
              </w:rPr>
            </w:pPr>
            <w:r>
              <w:rPr>
                <w:rFonts w:ascii="Times New Roman" w:eastAsia="宋体" w:hAnsi="宋体"/>
                <w:sz w:val="18"/>
              </w:rPr>
              <w:t>之路</w:t>
            </w: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微波</w:t>
            </w:r>
          </w:p>
          <w:p>
            <w:pPr>
              <w:tabs>
                <w:tab w:val="left" w:pos="1871"/>
                <w:tab w:val="left" w:pos="3407"/>
                <w:tab w:val="left" w:pos="4949"/>
                <w:tab w:val="left" w:pos="6599"/>
              </w:tabs>
              <w:jc w:val="center"/>
              <w:rPr>
                <w:sz w:val="18"/>
              </w:rPr>
            </w:pPr>
            <w:r>
              <w:rPr>
                <w:rFonts w:ascii="Times New Roman" w:eastAsia="宋体" w:hAnsi="宋体"/>
                <w:sz w:val="18"/>
              </w:rPr>
              <w:t>通信</w:t>
            </w:r>
          </w:p>
        </w:tc>
        <w:tc>
          <w:tcPr>
            <w:tcW w:w="7223" w:type="dxa"/>
            <w:gridSpan w:val="2"/>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微波是指波长范围为</w:t>
            </w:r>
            <w:r>
              <w:rPr>
                <w:rFonts w:ascii="Times New Roman" w:eastAsia="宋体" w:hAnsi="Times New Roman"/>
                <w:sz w:val="18"/>
              </w:rPr>
              <w:t>1 mm~10 m</w:t>
            </w:r>
            <w:r>
              <w:rPr>
                <w:rFonts w:ascii="Times New Roman" w:eastAsia="宋体" w:hAnsi="宋体"/>
                <w:sz w:val="18"/>
              </w:rPr>
              <w:t>的电磁波,微波通信需依靠地面微波中继站传递信息</w:t>
            </w: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卫星</w:t>
            </w:r>
          </w:p>
          <w:p>
            <w:pPr>
              <w:tabs>
                <w:tab w:val="left" w:pos="1871"/>
                <w:tab w:val="left" w:pos="3407"/>
                <w:tab w:val="left" w:pos="4949"/>
                <w:tab w:val="left" w:pos="6599"/>
              </w:tabs>
              <w:jc w:val="center"/>
              <w:rPr>
                <w:sz w:val="18"/>
              </w:rPr>
            </w:pPr>
            <w:r>
              <w:rPr>
                <w:rFonts w:ascii="Times New Roman" w:eastAsia="宋体" w:hAnsi="宋体"/>
                <w:sz w:val="18"/>
              </w:rPr>
              <w:t>通信</w:t>
            </w:r>
          </w:p>
        </w:tc>
        <w:tc>
          <w:tcPr>
            <w:tcW w:w="7223" w:type="dxa"/>
            <w:gridSpan w:val="2"/>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在地球周围均匀分布</w:t>
            </w:r>
            <w:r>
              <w:rPr>
                <w:rFonts w:ascii="Times New Roman" w:eastAsia="宋体" w:hAnsi="宋体"/>
                <w:color w:val="FF00FF"/>
                <w:sz w:val="18"/>
                <w:u w:val="single" w:color="000000"/>
              </w:rPr>
              <w:t>　</w:t>
            </w:r>
            <w:r>
              <w:rPr>
                <w:rFonts w:ascii="Times New Roman" w:eastAsia="宋体" w:hAnsi="Times New Roman"/>
                <w:color w:val="FF00FF"/>
                <w:sz w:val="18"/>
                <w:u w:val="single" w:color="000000"/>
              </w:rPr>
              <w:t>3</w:t>
            </w:r>
            <w:r>
              <w:rPr>
                <w:rFonts w:ascii="Times New Roman" w:eastAsia="宋体" w:hAnsi="宋体"/>
                <w:color w:val="FF00FF"/>
                <w:sz w:val="18"/>
                <w:u w:val="single" w:color="000000"/>
              </w:rPr>
              <w:t>　</w:t>
            </w:r>
            <w:r>
              <w:rPr>
                <w:rFonts w:ascii="Times New Roman" w:eastAsia="宋体" w:hAnsi="宋体"/>
                <w:sz w:val="18"/>
              </w:rPr>
              <w:t>颗同步通信卫星,就可覆盖几乎地球全部表面,实现全球通信,如中国的北斗卫星定位系统。通信卫星相当于空中中继站</w:t>
            </w:r>
            <w:r>
              <w:rPr>
                <w:rFonts w:ascii="Times New Roman" w:eastAsia="宋体" w:hAnsi="Times New Roman"/>
                <w:sz w:val="18"/>
              </w:rPr>
              <w:t> </w:t>
            </w: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光纤</w:t>
            </w:r>
          </w:p>
          <w:p>
            <w:pPr>
              <w:tabs>
                <w:tab w:val="left" w:pos="1871"/>
                <w:tab w:val="left" w:pos="3407"/>
                <w:tab w:val="left" w:pos="4949"/>
                <w:tab w:val="left" w:pos="6599"/>
              </w:tabs>
              <w:jc w:val="center"/>
              <w:rPr>
                <w:sz w:val="18"/>
              </w:rPr>
            </w:pPr>
            <w:r>
              <w:rPr>
                <w:rFonts w:ascii="Times New Roman" w:eastAsia="宋体" w:hAnsi="宋体"/>
                <w:sz w:val="18"/>
              </w:rPr>
              <w:t>通信</w:t>
            </w:r>
          </w:p>
        </w:tc>
        <w:tc>
          <w:tcPr>
            <w:tcW w:w="7223" w:type="dxa"/>
            <w:gridSpan w:val="2"/>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光也是电磁波,通信用的激光在光导纤维管一端进入,在光导纤维管内壁会发生多次</w:t>
            </w:r>
            <w:r>
              <w:rPr>
                <w:rFonts w:ascii="Times New Roman" w:eastAsia="宋体" w:hAnsi="宋体"/>
                <w:color w:val="FF00FF"/>
                <w:sz w:val="18"/>
                <w:u w:val="single" w:color="000000"/>
              </w:rPr>
              <w:t>　反射　</w:t>
            </w:r>
            <w:r>
              <w:rPr>
                <w:rFonts w:ascii="Times New Roman" w:eastAsia="宋体" w:hAnsi="宋体"/>
                <w:sz w:val="18"/>
              </w:rPr>
              <w:t>,会从另一端射出,同时将携带的信息传到另一方</w:t>
            </w:r>
            <w:r>
              <w:rPr>
                <w:rFonts w:ascii="Times New Roman" w:eastAsia="宋体" w:hAnsi="Times New Roman"/>
                <w:sz w:val="18"/>
              </w:rPr>
              <w:t> </w:t>
            </w:r>
          </w:p>
        </w:tc>
      </w:tr>
      <w:tr>
        <w:tblPrEx>
          <w:tblW w:w="8434" w:type="dxa"/>
          <w:jc w:val="center"/>
          <w:tblInd w:w="-64" w:type="dxa"/>
          <w:tblLayout w:type="fixed"/>
          <w:tblCellMar>
            <w:top w:w="0" w:type="dxa"/>
            <w:left w:w="108" w:type="dxa"/>
            <w:bottom w:w="0" w:type="dxa"/>
            <w:right w:w="108" w:type="dxa"/>
          </w:tblCellMar>
        </w:tblPrEx>
        <w:trPr>
          <w:jc w:val="center"/>
        </w:trPr>
        <w:tc>
          <w:tcPr>
            <w:tcW w:w="53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680"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网络</w:t>
            </w:r>
          </w:p>
          <w:p>
            <w:pPr>
              <w:tabs>
                <w:tab w:val="left" w:pos="1871"/>
                <w:tab w:val="left" w:pos="3407"/>
                <w:tab w:val="left" w:pos="4949"/>
                <w:tab w:val="left" w:pos="6599"/>
              </w:tabs>
              <w:jc w:val="center"/>
              <w:rPr>
                <w:sz w:val="18"/>
              </w:rPr>
            </w:pPr>
            <w:r>
              <w:rPr>
                <w:rFonts w:ascii="Times New Roman" w:eastAsia="宋体" w:hAnsi="宋体"/>
                <w:sz w:val="18"/>
              </w:rPr>
              <w:t>通信</w:t>
            </w:r>
          </w:p>
        </w:tc>
        <w:tc>
          <w:tcPr>
            <w:tcW w:w="7223" w:type="dxa"/>
            <w:gridSpan w:val="2"/>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网络通信可实现资源共享和信息传递</w:t>
            </w:r>
          </w:p>
        </w:tc>
      </w:tr>
    </w:tbl>
    <w:p>
      <w:pPr>
        <w:tabs>
          <w:tab w:val="left" w:pos="1871"/>
          <w:tab w:val="left" w:pos="3407"/>
          <w:tab w:val="left" w:pos="4949"/>
          <w:tab w:val="left" w:pos="6599"/>
        </w:tabs>
        <w:jc w:val="center"/>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465455" cy="151130"/>
            <wp:effectExtent l="0" t="0" r="10795" b="1270"/>
            <wp:docPr id="1096" name="物理例.EPS" descr="id:21475118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09135" name="物理例.EPS" descr="id:2147511893;FounderCES"/>
                    <pic:cNvPicPr>
                      <a:picLocks noChangeAspect="1"/>
                    </pic:cNvPicPr>
                  </pic:nvPicPr>
                  <pic:blipFill>
                    <a:blip xmlns:r="http://schemas.openxmlformats.org/officeDocument/2006/relationships" r:embed="rId12"/>
                    <a:stretch>
                      <a:fillRect/>
                    </a:stretch>
                  </pic:blipFill>
                  <pic:spPr>
                    <a:xfrm>
                      <a:off x="0" y="0"/>
                      <a:ext cx="465840" cy="151560"/>
                    </a:xfrm>
                    <a:prstGeom prst="rect">
                      <a:avLst/>
                    </a:prstGeom>
                  </pic:spPr>
                </pic:pic>
              </a:graphicData>
            </a:graphic>
          </wp:inline>
        </w:drawing>
      </w:r>
      <w:r>
        <w:rPr>
          <w:rFonts w:ascii="Arial" w:eastAsia="黑体" w:hAnsi="黑体"/>
          <w:sz w:val="20"/>
        </w:rPr>
        <w:t>典例</w:t>
      </w:r>
      <w:r>
        <w:rPr>
          <w:rFonts w:ascii="Times New Roman" w:eastAsia="宋体" w:hAnsi="Times New Roman"/>
          <w:b/>
          <w:sz w:val="20"/>
        </w:rPr>
        <w:t>1</w:t>
      </w:r>
      <w:r>
        <w:rPr>
          <w:rFonts w:ascii="Times New Roman" w:eastAsia="宋体" w:hAnsi="宋体"/>
        </w:rPr>
        <w:t xml:space="preserve">　(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山东日照</w:t>
      </w:r>
      <w:r>
        <w:rPr>
          <w:rFonts w:ascii="Times New Roman" w:eastAsia="宋体" w:hAnsi="宋体"/>
        </w:rPr>
        <w:t xml:space="preserve">  )</w:t>
      </w:r>
      <w:r>
        <w:rPr>
          <w:rFonts w:ascii="Times New Roman" w:eastAsia="宋体" w:hAnsi="Times New Roman" w:cs="Times New Roman"/>
        </w:rPr>
        <w:t>“</w:t>
      </w:r>
      <w:r>
        <w:rPr>
          <w:rFonts w:ascii="Times New Roman" w:eastAsia="宋体" w:hAnsi="宋体"/>
        </w:rPr>
        <w:t>华为</w:t>
      </w:r>
      <w:r>
        <w:rPr>
          <w:rFonts w:ascii="Times New Roman" w:eastAsia="宋体" w:hAnsi="Times New Roman" w:cs="Times New Roman"/>
        </w:rPr>
        <w:t>”</w:t>
      </w:r>
      <w:r>
        <w:rPr>
          <w:rFonts w:ascii="Times New Roman" w:eastAsia="宋体" w:hAnsi="宋体"/>
        </w:rPr>
        <w:t>是</w:t>
      </w:r>
      <w:r>
        <w:rPr>
          <w:rFonts w:ascii="Times New Roman" w:eastAsia="宋体" w:hAnsi="Times New Roman" w:cs="Times New Roman"/>
        </w:rPr>
        <w:t>“</w:t>
      </w:r>
      <w:r>
        <w:rPr>
          <w:rFonts w:ascii="Times New Roman" w:eastAsia="宋体" w:hAnsi="宋体"/>
        </w:rPr>
        <w:t>中国制造</w:t>
      </w:r>
      <w:r>
        <w:rPr>
          <w:rFonts w:ascii="Times New Roman" w:eastAsia="宋体" w:hAnsi="Times New Roman" w:cs="Times New Roman"/>
        </w:rPr>
        <w:t>”</w:t>
      </w:r>
      <w:r>
        <w:rPr>
          <w:rFonts w:ascii="Times New Roman" w:eastAsia="宋体" w:hAnsi="宋体"/>
        </w:rPr>
        <w:t>向</w:t>
      </w:r>
      <w:r>
        <w:rPr>
          <w:rFonts w:ascii="Times New Roman" w:eastAsia="宋体" w:hAnsi="Times New Roman" w:cs="Times New Roman"/>
        </w:rPr>
        <w:t>“</w:t>
      </w:r>
      <w:r>
        <w:rPr>
          <w:rFonts w:ascii="Times New Roman" w:eastAsia="宋体" w:hAnsi="宋体"/>
        </w:rPr>
        <w:t>中国智造</w:t>
      </w:r>
      <w:r>
        <w:rPr>
          <w:rFonts w:ascii="Times New Roman" w:eastAsia="宋体" w:hAnsi="Times New Roman" w:cs="Times New Roman"/>
        </w:rPr>
        <w:t>”</w:t>
      </w:r>
      <w:r>
        <w:rPr>
          <w:rFonts w:ascii="Times New Roman" w:eastAsia="宋体" w:hAnsi="宋体"/>
        </w:rPr>
        <w:t>发展的典型代表,是中国智慧和民族精神的缩影。今年,华为公司突破重重困难率先在全球布局</w:t>
      </w:r>
      <w:r>
        <w:rPr>
          <w:rFonts w:ascii="Times New Roman" w:eastAsia="宋体" w:hAnsi="Times New Roman"/>
        </w:rPr>
        <w:t>5G</w:t>
      </w:r>
      <w:r>
        <w:rPr>
          <w:rFonts w:ascii="Times New Roman" w:eastAsia="宋体" w:hAnsi="宋体"/>
        </w:rPr>
        <w:t>通信。任正非说,</w:t>
      </w:r>
      <w:r>
        <w:rPr>
          <w:rFonts w:ascii="Times New Roman" w:eastAsia="宋体" w:hAnsi="Times New Roman"/>
        </w:rPr>
        <w:t>5G</w:t>
      </w:r>
      <w:r>
        <w:rPr>
          <w:rFonts w:ascii="Times New Roman" w:eastAsia="宋体" w:hAnsi="宋体"/>
        </w:rPr>
        <w:t>信号比</w:t>
      </w:r>
      <w:r>
        <w:rPr>
          <w:rFonts w:ascii="Times New Roman" w:eastAsia="宋体" w:hAnsi="Times New Roman"/>
        </w:rPr>
        <w:t>3G</w:t>
      </w:r>
      <w:r>
        <w:rPr>
          <w:rFonts w:ascii="Times New Roman" w:eastAsia="宋体" w:hAnsi="宋体"/>
        </w:rPr>
        <w:t>、</w:t>
      </w:r>
      <w:r>
        <w:rPr>
          <w:rFonts w:ascii="Times New Roman" w:eastAsia="宋体" w:hAnsi="Times New Roman"/>
        </w:rPr>
        <w:t>4G</w:t>
      </w:r>
      <w:r>
        <w:rPr>
          <w:rFonts w:ascii="Times New Roman" w:eastAsia="宋体" w:hAnsi="宋体"/>
        </w:rPr>
        <w:t>快三四十倍,也就是在相同时间内传输的信息更多,</w:t>
      </w:r>
      <w:r>
        <w:rPr>
          <w:rFonts w:ascii="Times New Roman" w:eastAsia="宋体" w:hAnsi="Times New Roman" w:cs="Times New Roman"/>
        </w:rPr>
        <w:t>“</w:t>
      </w:r>
      <w:r>
        <w:rPr>
          <w:rFonts w:ascii="Times New Roman" w:eastAsia="宋体" w:hAnsi="宋体"/>
        </w:rPr>
        <w:t>传输的信息更多</w:t>
      </w:r>
      <w:r>
        <w:rPr>
          <w:rFonts w:ascii="Times New Roman" w:eastAsia="宋体" w:hAnsi="Times New Roman" w:cs="Times New Roman"/>
        </w:rPr>
        <w:t>”</w:t>
      </w:r>
      <w:r>
        <w:rPr>
          <w:rFonts w:ascii="Times New Roman" w:eastAsia="宋体" w:hAnsi="宋体"/>
        </w:rPr>
        <w:t>,最主要的原因应是</w:t>
      </w:r>
      <w:r>
        <w:rPr>
          <w:rFonts w:ascii="Times New Roman" w:eastAsia="宋体" w:hAnsi="Times New Roman"/>
        </w:rPr>
        <w:t>5G</w:t>
      </w:r>
      <w:r>
        <w:rPr>
          <w:rFonts w:ascii="Times New Roman" w:eastAsia="宋体" w:hAnsi="宋体"/>
        </w:rPr>
        <w:t>信号</w:t>
      </w:r>
      <w:r>
        <w:ptab w:relativeTo="margin" w:alignment="right" w:leader="none"/>
      </w:r>
      <w:r>
        <w:rPr>
          <w:rFonts w:ascii="Times New Roman" w:eastAsia="宋体" w:hAnsi="宋体"/>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传输信息更加稳定</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使用的电磁波频率更高</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使用模拟信号进行通信</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在真空中的传播速度大于光速</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宋体" w:hAnsi="Times New Roman" w:cs="Times New Roman"/>
          <w:color w:val="FF00FF"/>
        </w:rPr>
        <w:t>“</w:t>
      </w:r>
      <w:r>
        <w:rPr>
          <w:rFonts w:ascii="Times New Roman" w:eastAsia="楷体" w:hAnsi="楷体"/>
          <w:color w:val="FF00FF"/>
        </w:rPr>
        <w:t>传输的信息更多</w:t>
      </w:r>
      <w:r>
        <w:rPr>
          <w:rFonts w:ascii="Times New Roman" w:eastAsia="宋体" w:hAnsi="Times New Roman" w:cs="Times New Roman"/>
          <w:color w:val="FF00FF"/>
        </w:rPr>
        <w:t>”</w:t>
      </w:r>
      <w:r>
        <w:rPr>
          <w:rFonts w:ascii="Times New Roman" w:eastAsia="宋体" w:hAnsi="宋体"/>
          <w:color w:val="FF00FF"/>
        </w:rPr>
        <w:t>,</w:t>
      </w:r>
      <w:r>
        <w:rPr>
          <w:rFonts w:ascii="Times New Roman" w:eastAsia="楷体" w:hAnsi="楷体"/>
          <w:color w:val="FF00FF"/>
        </w:rPr>
        <w:t>也就是在相同时间内传输的信息更多</w:t>
      </w:r>
      <w:r>
        <w:rPr>
          <w:rFonts w:ascii="Times New Roman" w:eastAsia="宋体" w:hAnsi="宋体"/>
          <w:color w:val="FF00FF"/>
        </w:rPr>
        <w:t>,</w:t>
      </w:r>
      <w:r>
        <w:rPr>
          <w:rFonts w:ascii="Times New Roman" w:eastAsia="楷体" w:hAnsi="楷体"/>
          <w:color w:val="FF00FF"/>
        </w:rPr>
        <w:t>最主要的原因是</w:t>
      </w:r>
      <w:r>
        <w:rPr>
          <w:rFonts w:ascii="Times New Roman" w:eastAsia="宋体" w:hAnsi="Times New Roman"/>
          <w:color w:val="FF00FF"/>
        </w:rPr>
        <w:t>5G</w:t>
      </w:r>
      <w:r>
        <w:rPr>
          <w:rFonts w:ascii="Times New Roman" w:eastAsia="楷体" w:hAnsi="楷体"/>
          <w:color w:val="FF00FF"/>
        </w:rPr>
        <w:t>信号使用的电磁波频率更高</w:t>
      </w:r>
      <w:r>
        <w:rPr>
          <w:rFonts w:ascii="Times New Roman" w:eastAsia="宋体" w:hAnsi="宋体"/>
          <w:color w:val="FF00FF"/>
        </w:rPr>
        <w:t>,</w:t>
      </w:r>
      <w:r>
        <w:rPr>
          <w:rFonts w:ascii="Times New Roman" w:eastAsia="宋体" w:hAnsi="Times New Roman"/>
          <w:color w:val="FF00FF"/>
        </w:rPr>
        <w:t>B</w:t>
      </w:r>
      <w:r>
        <w:rPr>
          <w:rFonts w:ascii="Times New Roman" w:eastAsia="楷体" w:hAnsi="楷体"/>
          <w:color w:val="FF00FF"/>
        </w:rPr>
        <w:t>项正确。</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【答案】</w:t>
      </w:r>
      <w:r>
        <w:rPr>
          <w:rFonts w:ascii="Times New Roman" w:eastAsia="宋体" w:hAnsi="Times New Roman"/>
          <w:color w:val="FF00FF"/>
        </w:rPr>
        <w:t xml:space="preserve"> B</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1097" name="19前括.EPS" descr="id:21475119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70284" name="19前括.EPS" descr="id:2147511900;FounderCES"/>
                    <pic:cNvPicPr>
                      <a:picLocks noChangeAspect="1"/>
                    </pic:cNvPicPr>
                  </pic:nvPicPr>
                  <pic:blipFill>
                    <a:blip xmlns:r="http://schemas.openxmlformats.org/officeDocument/2006/relationships" r:embed="rId13"/>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1098" name="19后括.EPS" descr="id:21475119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54865" name="19后括.EPS" descr="id:2147511907;FounderCES"/>
                    <pic:cNvPicPr>
                      <a:picLocks noChangeAspect="1"/>
                    </pic:cNvPicPr>
                  </pic:nvPicPr>
                  <pic:blipFill>
                    <a:blip xmlns:r="http://schemas.openxmlformats.org/officeDocument/2006/relationships" r:embed="rId14"/>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四川巴中</w:t>
      </w:r>
      <w:r>
        <w:rPr>
          <w:rFonts w:ascii="Times New Roman" w:eastAsia="宋体" w:hAnsi="宋体"/>
        </w:rPr>
        <w:t xml:space="preserve">  )下列关于电磁波和信息技术说法正确的是</w:t>
      </w:r>
      <w:r>
        <w:rPr>
          <w:rFonts w:ascii="Times New Roman" w:eastAsia="宋体" w:hAnsi="Times New Roman"/>
        </w:rPr>
        <w:t xml:space="preserve">( </w:t>
      </w:r>
      <w:r>
        <w:rPr>
          <w:rFonts w:ascii="Times New Roman" w:eastAsia="宋体" w:hAnsi="宋体"/>
        </w:rPr>
        <w:t xml:space="preserve"> </w:t>
      </w:r>
      <w:r>
        <w:rPr>
          <w:rFonts w:ascii="Times New Roman" w:eastAsia="宋体" w:hAnsi="Times New Roman"/>
          <w:color w:val="FF00FF"/>
        </w:rPr>
        <w:t>B</w:t>
      </w:r>
      <w:r>
        <w:rPr>
          <w:rFonts w:ascii="Times New Roman" w:eastAsia="宋体" w:hAnsi="宋体"/>
        </w:rPr>
        <w:t xml:space="preserve">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由华为主导的</w:t>
      </w:r>
      <w:r>
        <w:rPr>
          <w:rFonts w:ascii="Times New Roman" w:eastAsia="宋体" w:hAnsi="Times New Roman"/>
        </w:rPr>
        <w:t>5G</w:t>
      </w:r>
      <w:r>
        <w:rPr>
          <w:rFonts w:ascii="Times New Roman" w:eastAsia="宋体" w:hAnsi="宋体"/>
        </w:rPr>
        <w:t>技术不是利用电磁波进行信息传输的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北斗卫星导航系统是通过电磁波进行定位服务的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电磁波只能传递信息不能传递能量</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不同频率的电磁波在真空中传播速度不相同</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87020"/>
            <wp:effectExtent l="0" t="0" r="635" b="17780"/>
            <wp:docPr id="1099" name="19考点-物理-CS.EPS" descr="id:21475119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745852" name="19考点-物理-CS.EPS" descr="id:2147511914;FounderCES"/>
                    <pic:cNvPicPr>
                      <a:picLocks noChangeAspect="1"/>
                    </pic:cNvPicPr>
                  </pic:nvPicPr>
                  <pic:blipFill>
                    <a:blip xmlns:r="http://schemas.openxmlformats.org/officeDocument/2006/relationships" r:embed="rId11"/>
                    <a:stretch>
                      <a:fillRect/>
                    </a:stretch>
                  </pic:blipFill>
                  <pic:spPr>
                    <a:xfrm>
                      <a:off x="0" y="0"/>
                      <a:ext cx="3085920" cy="2872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考点二能源与可持续发展</w:t>
      </w:r>
    </w:p>
    <w:p>
      <w:pPr>
        <w:tabs>
          <w:tab w:val="left" w:pos="1871"/>
          <w:tab w:val="left" w:pos="3407"/>
          <w:tab w:val="left" w:pos="4949"/>
          <w:tab w:val="left" w:pos="6599"/>
        </w:tabs>
        <w:rPr>
          <w:rFonts w:ascii="Times New Roman" w:eastAsia="宋体" w:hAnsi="Times New Roman"/>
        </w:rPr>
      </w:pPr>
      <w:r>
        <w:rPr>
          <w:rFonts w:ascii="Times New Roman" w:eastAsia="宋体" w:hAnsi="宋体"/>
        </w:rPr>
        <w:t>能源是指能提供能量的资源。能源的利用过程实质上是能量的转移和转化过程。</w:t>
      </w:r>
    </w:p>
    <w:p>
      <w:pPr>
        <w:tabs>
          <w:tab w:val="left" w:pos="1871"/>
          <w:tab w:val="left" w:pos="3407"/>
          <w:tab w:val="left" w:pos="4949"/>
          <w:tab w:val="left" w:pos="6599"/>
        </w:tabs>
      </w:pPr>
      <w:r>
        <w:rPr>
          <w:rFonts w:ascii="Times New Roman" w:eastAsia="宋体" w:hAnsi="Times New Roman"/>
          <w:b/>
        </w:rPr>
        <w:t>1</w:t>
      </w:r>
      <w:r>
        <w:rPr>
          <w:rFonts w:ascii="Times New Roman" w:eastAsia="宋体" w:hAnsi="Times New Roman" w:cs="Times New Roman"/>
        </w:rPr>
        <w:t>.</w:t>
      </w:r>
      <w:r>
        <w:rPr>
          <w:rFonts w:ascii="Arial" w:eastAsia="黑体" w:hAnsi="黑体"/>
        </w:rPr>
        <w:t>能源的分类</w:t>
      </w:r>
    </w:p>
    <w:tbl>
      <w:tblPr>
        <w:tblStyle w:val="TableNormal"/>
        <w:tblW w:w="8040" w:type="dxa"/>
        <w:jc w:val="center"/>
        <w:tblInd w:w="1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541"/>
        <w:gridCol w:w="912"/>
        <w:gridCol w:w="3465"/>
        <w:gridCol w:w="3122"/>
      </w:tblGrid>
      <w:tr>
        <w:tblPrEx>
          <w:tblW w:w="8040" w:type="dxa"/>
          <w:jc w:val="center"/>
          <w:tblInd w:w="13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jc w:val="center"/>
        </w:trPr>
        <w:tc>
          <w:tcPr>
            <w:tcW w:w="541"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分类</w:t>
            </w:r>
          </w:p>
          <w:p>
            <w:pPr>
              <w:tabs>
                <w:tab w:val="left" w:pos="1871"/>
                <w:tab w:val="left" w:pos="3407"/>
                <w:tab w:val="left" w:pos="4949"/>
                <w:tab w:val="left" w:pos="6599"/>
              </w:tabs>
              <w:jc w:val="center"/>
              <w:rPr>
                <w:sz w:val="18"/>
              </w:rPr>
            </w:pPr>
            <w:r>
              <w:rPr>
                <w:rFonts w:ascii="Times New Roman" w:eastAsia="宋体" w:hAnsi="宋体"/>
                <w:sz w:val="18"/>
              </w:rPr>
              <w:t>标准</w:t>
            </w:r>
          </w:p>
        </w:tc>
        <w:tc>
          <w:tcPr>
            <w:tcW w:w="912"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类型</w:t>
            </w:r>
          </w:p>
        </w:tc>
        <w:tc>
          <w:tcPr>
            <w:tcW w:w="3465"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定义</w:t>
            </w:r>
          </w:p>
        </w:tc>
        <w:tc>
          <w:tcPr>
            <w:tcW w:w="3122" w:type="dxa"/>
            <w:shd w:val="clear" w:color="auto" w:fill="auto"/>
            <w:tcMar>
              <w:left w:w="105" w:type="dxa"/>
              <w:right w:w="105"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实例</w:t>
            </w:r>
          </w:p>
        </w:tc>
      </w:tr>
      <w:tr>
        <w:tblPrEx>
          <w:tblW w:w="8040" w:type="dxa"/>
          <w:jc w:val="center"/>
          <w:tblInd w:w="133" w:type="dxa"/>
          <w:tblLayout w:type="fixed"/>
          <w:tblCellMar>
            <w:top w:w="0" w:type="dxa"/>
            <w:left w:w="108" w:type="dxa"/>
            <w:bottom w:w="0" w:type="dxa"/>
            <w:right w:w="108" w:type="dxa"/>
          </w:tblCellMar>
        </w:tblPrEx>
        <w:trPr>
          <w:jc w:val="center"/>
        </w:trPr>
        <w:tc>
          <w:tcPr>
            <w:tcW w:w="541" w:type="dxa"/>
            <w:vMerge w:val="restart"/>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按获</w:t>
            </w:r>
          </w:p>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取来</w:t>
            </w:r>
          </w:p>
          <w:p>
            <w:pPr>
              <w:tabs>
                <w:tab w:val="left" w:pos="1871"/>
                <w:tab w:val="left" w:pos="3407"/>
                <w:tab w:val="left" w:pos="4949"/>
                <w:tab w:val="left" w:pos="6599"/>
              </w:tabs>
              <w:jc w:val="center"/>
              <w:rPr>
                <w:sz w:val="18"/>
              </w:rPr>
            </w:pPr>
            <w:r>
              <w:rPr>
                <w:rFonts w:ascii="Times New Roman" w:eastAsia="宋体" w:hAnsi="宋体"/>
                <w:sz w:val="18"/>
              </w:rPr>
              <w:t>源分</w:t>
            </w:r>
          </w:p>
        </w:tc>
        <w:tc>
          <w:tcPr>
            <w:tcW w:w="912"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一次能源</w:t>
            </w:r>
          </w:p>
        </w:tc>
        <w:tc>
          <w:tcPr>
            <w:tcW w:w="346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可以直接从自然界获得的能源</w:t>
            </w:r>
          </w:p>
        </w:tc>
        <w:tc>
          <w:tcPr>
            <w:tcW w:w="3122"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如煤、石油、草木、天然气、核能</w:t>
            </w:r>
          </w:p>
        </w:tc>
      </w:tr>
      <w:tr>
        <w:tblPrEx>
          <w:tblW w:w="8040" w:type="dxa"/>
          <w:jc w:val="center"/>
          <w:tblInd w:w="133" w:type="dxa"/>
          <w:tblLayout w:type="fixed"/>
          <w:tblCellMar>
            <w:top w:w="0" w:type="dxa"/>
            <w:left w:w="108" w:type="dxa"/>
            <w:bottom w:w="0" w:type="dxa"/>
            <w:right w:w="108" w:type="dxa"/>
          </w:tblCellMar>
        </w:tblPrEx>
        <w:trPr>
          <w:jc w:val="center"/>
        </w:trPr>
        <w:tc>
          <w:tcPr>
            <w:tcW w:w="54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912"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二次能源</w:t>
            </w:r>
          </w:p>
        </w:tc>
        <w:tc>
          <w:tcPr>
            <w:tcW w:w="346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无法从自然界直接获得的能源</w:t>
            </w:r>
          </w:p>
        </w:tc>
        <w:tc>
          <w:tcPr>
            <w:tcW w:w="3122"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汽油、液化气、沼气</w:t>
            </w:r>
          </w:p>
        </w:tc>
      </w:tr>
      <w:tr>
        <w:tblPrEx>
          <w:tblW w:w="8040" w:type="dxa"/>
          <w:jc w:val="center"/>
          <w:tblInd w:w="133" w:type="dxa"/>
          <w:tblLayout w:type="fixed"/>
          <w:tblCellMar>
            <w:top w:w="0" w:type="dxa"/>
            <w:left w:w="108" w:type="dxa"/>
            <w:bottom w:w="0" w:type="dxa"/>
            <w:right w:w="108" w:type="dxa"/>
          </w:tblCellMar>
        </w:tblPrEx>
        <w:trPr>
          <w:jc w:val="center"/>
        </w:trPr>
        <w:tc>
          <w:tcPr>
            <w:tcW w:w="541" w:type="dxa"/>
            <w:vMerge w:val="restart"/>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按是</w:t>
            </w:r>
          </w:p>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否可</w:t>
            </w:r>
          </w:p>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再生</w:t>
            </w:r>
          </w:p>
          <w:p>
            <w:pPr>
              <w:tabs>
                <w:tab w:val="left" w:pos="1871"/>
                <w:tab w:val="left" w:pos="3407"/>
                <w:tab w:val="left" w:pos="4949"/>
                <w:tab w:val="left" w:pos="6599"/>
              </w:tabs>
              <w:jc w:val="center"/>
              <w:rPr>
                <w:sz w:val="18"/>
              </w:rPr>
            </w:pPr>
            <w:r>
              <w:rPr>
                <w:rFonts w:ascii="Times New Roman" w:eastAsia="宋体" w:hAnsi="宋体"/>
                <w:sz w:val="18"/>
              </w:rPr>
              <w:t>分</w:t>
            </w:r>
          </w:p>
        </w:tc>
        <w:tc>
          <w:tcPr>
            <w:tcW w:w="912"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可再生</w:t>
            </w:r>
          </w:p>
          <w:p>
            <w:pPr>
              <w:tabs>
                <w:tab w:val="left" w:pos="1871"/>
                <w:tab w:val="left" w:pos="3407"/>
                <w:tab w:val="left" w:pos="4949"/>
                <w:tab w:val="left" w:pos="6599"/>
              </w:tabs>
              <w:jc w:val="center"/>
              <w:rPr>
                <w:sz w:val="18"/>
              </w:rPr>
            </w:pPr>
            <w:r>
              <w:rPr>
                <w:rFonts w:ascii="Times New Roman" w:eastAsia="宋体" w:hAnsi="宋体"/>
                <w:sz w:val="18"/>
              </w:rPr>
              <w:t>能源</w:t>
            </w:r>
          </w:p>
        </w:tc>
        <w:tc>
          <w:tcPr>
            <w:tcW w:w="346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可以在自然界里源源不断地得到的能源</w:t>
            </w:r>
          </w:p>
        </w:tc>
        <w:tc>
          <w:tcPr>
            <w:tcW w:w="3122"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太阳能、风能、水能、地热能</w:t>
            </w:r>
          </w:p>
        </w:tc>
      </w:tr>
      <w:tr>
        <w:tblPrEx>
          <w:tblW w:w="8040" w:type="dxa"/>
          <w:jc w:val="center"/>
          <w:tblInd w:w="133" w:type="dxa"/>
          <w:tblLayout w:type="fixed"/>
          <w:tblCellMar>
            <w:top w:w="0" w:type="dxa"/>
            <w:left w:w="108" w:type="dxa"/>
            <w:bottom w:w="0" w:type="dxa"/>
            <w:right w:w="108" w:type="dxa"/>
          </w:tblCellMar>
        </w:tblPrEx>
        <w:trPr>
          <w:jc w:val="center"/>
        </w:trPr>
        <w:tc>
          <w:tcPr>
            <w:tcW w:w="541"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912"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不可再生</w:t>
            </w:r>
          </w:p>
          <w:p>
            <w:pPr>
              <w:tabs>
                <w:tab w:val="left" w:pos="1871"/>
                <w:tab w:val="left" w:pos="3407"/>
                <w:tab w:val="left" w:pos="4949"/>
                <w:tab w:val="left" w:pos="6599"/>
              </w:tabs>
              <w:jc w:val="center"/>
              <w:rPr>
                <w:sz w:val="18"/>
              </w:rPr>
            </w:pPr>
            <w:r>
              <w:rPr>
                <w:rFonts w:ascii="Times New Roman" w:eastAsia="宋体" w:hAnsi="宋体"/>
                <w:sz w:val="18"/>
              </w:rPr>
              <w:t>能源</w:t>
            </w:r>
          </w:p>
        </w:tc>
        <w:tc>
          <w:tcPr>
            <w:tcW w:w="3465"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不可能在短期内从自然界得到补充的能源</w:t>
            </w:r>
          </w:p>
        </w:tc>
        <w:tc>
          <w:tcPr>
            <w:tcW w:w="3122"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煤、石油、核能</w:t>
            </w:r>
          </w:p>
        </w:tc>
      </w:tr>
    </w:tbl>
    <w:p>
      <w:pPr>
        <w:tabs>
          <w:tab w:val="left" w:pos="1871"/>
          <w:tab w:val="left" w:pos="3407"/>
          <w:tab w:val="left" w:pos="4949"/>
          <w:tab w:val="left" w:pos="6599"/>
        </w:tabs>
        <w:jc w:val="center"/>
        <w:rPr>
          <w:rFonts w:ascii="Times New Roman" w:eastAsia="宋体" w:hAnsi="Times New Roman"/>
        </w:rPr>
      </w:pPr>
    </w:p>
    <w:p>
      <w:pPr>
        <w:tabs>
          <w:tab w:val="left" w:pos="1871"/>
          <w:tab w:val="left" w:pos="3407"/>
          <w:tab w:val="left" w:pos="4949"/>
          <w:tab w:val="left" w:pos="6599"/>
        </w:tabs>
      </w:pPr>
      <w:r>
        <w:rPr>
          <w:rFonts w:ascii="Times New Roman" w:eastAsia="宋体" w:hAnsi="Times New Roman"/>
          <w:b/>
        </w:rPr>
        <w:t>2</w:t>
      </w:r>
      <w:r>
        <w:rPr>
          <w:rFonts w:ascii="Times New Roman" w:eastAsia="宋体" w:hAnsi="Times New Roman" w:cs="Times New Roman"/>
        </w:rPr>
        <w:t>.</w:t>
      </w:r>
      <w:r>
        <w:rPr>
          <w:rFonts w:ascii="Arial" w:eastAsia="黑体" w:hAnsi="黑体"/>
        </w:rPr>
        <w:t>新能源</w:t>
      </w:r>
    </w:p>
    <w:tbl>
      <w:tblPr>
        <w:tblStyle w:val="TableNormal"/>
        <w:tblW w:w="8434" w:type="dxa"/>
        <w:jc w:val="center"/>
        <w:tblInd w:w="-6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934"/>
        <w:gridCol w:w="4958"/>
        <w:gridCol w:w="2542"/>
      </w:tblGrid>
      <w:tr>
        <w:tblPrEx>
          <w:tblW w:w="8434" w:type="dxa"/>
          <w:jc w:val="center"/>
          <w:tblInd w:w="-6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jc w:val="center"/>
        </w:trPr>
        <w:tc>
          <w:tcPr>
            <w:tcW w:w="934" w:type="dxa"/>
            <w:vMerge w:val="restart"/>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太</w:t>
            </w:r>
          </w:p>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阳</w:t>
            </w:r>
          </w:p>
          <w:p>
            <w:pPr>
              <w:tabs>
                <w:tab w:val="left" w:pos="1871"/>
                <w:tab w:val="left" w:pos="3407"/>
                <w:tab w:val="left" w:pos="4949"/>
                <w:tab w:val="left" w:pos="6599"/>
              </w:tabs>
              <w:jc w:val="center"/>
              <w:rPr>
                <w:sz w:val="18"/>
              </w:rPr>
            </w:pPr>
            <w:r>
              <w:rPr>
                <w:rFonts w:ascii="Times New Roman" w:eastAsia="宋体" w:hAnsi="宋体"/>
                <w:sz w:val="18"/>
              </w:rPr>
              <w:t>能</w:t>
            </w:r>
          </w:p>
        </w:tc>
        <w:tc>
          <w:tcPr>
            <w:tcW w:w="4958" w:type="dxa"/>
            <w:shd w:val="clear" w:color="auto" w:fill="auto"/>
            <w:tcMar>
              <w:left w:w="105" w:type="dxa"/>
              <w:right w:w="105"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特点</w:t>
            </w:r>
          </w:p>
        </w:tc>
        <w:tc>
          <w:tcPr>
            <w:tcW w:w="2542" w:type="dxa"/>
            <w:shd w:val="clear" w:color="auto" w:fill="auto"/>
            <w:tcMar>
              <w:left w:w="105" w:type="dxa"/>
              <w:right w:w="105"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直接利用太阳能的途径</w:t>
            </w:r>
          </w:p>
        </w:tc>
      </w:tr>
      <w:tr>
        <w:tblPrEx>
          <w:tblW w:w="8434" w:type="dxa"/>
          <w:jc w:val="center"/>
          <w:tblInd w:w="-64" w:type="dxa"/>
          <w:tblLayout w:type="fixed"/>
          <w:tblCellMar>
            <w:top w:w="0" w:type="dxa"/>
            <w:left w:w="108" w:type="dxa"/>
            <w:bottom w:w="0" w:type="dxa"/>
            <w:right w:w="108" w:type="dxa"/>
          </w:tblCellMar>
        </w:tblPrEx>
        <w:trPr>
          <w:jc w:val="center"/>
        </w:trPr>
        <w:tc>
          <w:tcPr>
            <w:tcW w:w="934"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4958" w:type="dxa"/>
            <w:shd w:val="clear" w:color="auto" w:fill="auto"/>
            <w:tcMar>
              <w:left w:w="105" w:type="dxa"/>
              <w:right w:w="105" w:type="dxa"/>
            </w:tcMar>
            <w:vAlign w:val="center"/>
          </w:tcPr>
          <w:p>
            <w:pPr>
              <w:tabs>
                <w:tab w:val="left" w:pos="1871"/>
                <w:tab w:val="left" w:pos="3407"/>
                <w:tab w:val="left" w:pos="4949"/>
                <w:tab w:val="left" w:pos="6599"/>
              </w:tabs>
              <w:rPr>
                <w:rFonts w:ascii="Times New Roman" w:eastAsia="宋体" w:hAnsi="Times New Roman"/>
                <w:sz w:val="18"/>
              </w:rPr>
            </w:pPr>
            <w:r>
              <w:rPr>
                <w:rFonts w:ascii="Times New Roman" w:eastAsia="宋体" w:hAnsi="Times New Roman"/>
                <w:sz w:val="18"/>
              </w:rPr>
              <w:t>1</w:t>
            </w:r>
            <w:r>
              <w:rPr>
                <w:rFonts w:ascii="Times New Roman" w:eastAsia="宋体" w:hAnsi="Times New Roman" w:cs="Times New Roman"/>
                <w:sz w:val="18"/>
              </w:rPr>
              <w:t>.</w:t>
            </w:r>
            <w:r>
              <w:rPr>
                <w:rFonts w:ascii="Times New Roman" w:eastAsia="宋体" w:hAnsi="宋体"/>
                <w:sz w:val="18"/>
              </w:rPr>
              <w:t>优点:巨大的核能火炉,清洁,易获得</w:t>
            </w:r>
          </w:p>
          <w:p>
            <w:pPr>
              <w:tabs>
                <w:tab w:val="left" w:pos="1871"/>
                <w:tab w:val="left" w:pos="3407"/>
                <w:tab w:val="left" w:pos="4949"/>
                <w:tab w:val="left" w:pos="6599"/>
              </w:tabs>
              <w:rPr>
                <w:sz w:val="18"/>
              </w:rPr>
            </w:pPr>
            <w:r>
              <w:rPr>
                <w:rFonts w:ascii="Times New Roman" w:eastAsia="宋体" w:hAnsi="Times New Roman"/>
                <w:sz w:val="18"/>
              </w:rPr>
              <w:t>2</w:t>
            </w:r>
            <w:r>
              <w:rPr>
                <w:rFonts w:ascii="Times New Roman" w:eastAsia="宋体" w:hAnsi="Times New Roman" w:cs="Times New Roman"/>
                <w:sz w:val="18"/>
              </w:rPr>
              <w:t>.</w:t>
            </w:r>
            <w:r>
              <w:rPr>
                <w:rFonts w:ascii="Times New Roman" w:eastAsia="宋体" w:hAnsi="宋体"/>
                <w:sz w:val="18"/>
              </w:rPr>
              <w:t>缺点:辐射功率分散,利用率低</w:t>
            </w:r>
          </w:p>
        </w:tc>
        <w:tc>
          <w:tcPr>
            <w:tcW w:w="2542" w:type="dxa"/>
            <w:shd w:val="clear" w:color="auto" w:fill="auto"/>
            <w:tcMar>
              <w:left w:w="105" w:type="dxa"/>
              <w:right w:w="105" w:type="dxa"/>
            </w:tcMar>
            <w:vAlign w:val="center"/>
          </w:tcPr>
          <w:p>
            <w:pPr>
              <w:tabs>
                <w:tab w:val="left" w:pos="1871"/>
                <w:tab w:val="left" w:pos="3407"/>
                <w:tab w:val="left" w:pos="4949"/>
                <w:tab w:val="left" w:pos="6599"/>
              </w:tabs>
              <w:rPr>
                <w:rFonts w:ascii="Times New Roman" w:eastAsia="宋体" w:hAnsi="Times New Roman"/>
                <w:sz w:val="18"/>
              </w:rPr>
            </w:pPr>
            <w:r>
              <w:rPr>
                <w:rFonts w:ascii="Times New Roman" w:eastAsia="宋体" w:hAnsi="Times New Roman"/>
                <w:sz w:val="18"/>
              </w:rPr>
              <w:t>1</w:t>
            </w:r>
            <w:r>
              <w:rPr>
                <w:rFonts w:ascii="Times New Roman" w:eastAsia="宋体" w:hAnsi="Times New Roman" w:cs="Times New Roman"/>
                <w:sz w:val="18"/>
              </w:rPr>
              <w:t>.</w:t>
            </w:r>
            <w:r>
              <w:rPr>
                <w:rFonts w:ascii="Times New Roman" w:eastAsia="宋体" w:hAnsi="宋体"/>
                <w:sz w:val="18"/>
              </w:rPr>
              <w:t>太阳能转化成</w:t>
            </w:r>
            <w:r>
              <w:rPr>
                <w:rFonts w:ascii="Times New Roman" w:eastAsia="宋体" w:hAnsi="宋体"/>
                <w:color w:val="FF00FF"/>
                <w:sz w:val="18"/>
                <w:u w:val="single" w:color="000000"/>
              </w:rPr>
              <w:t>　内　</w:t>
            </w:r>
            <w:r>
              <w:rPr>
                <w:rFonts w:ascii="Times New Roman" w:eastAsia="宋体" w:hAnsi="宋体"/>
                <w:sz w:val="18"/>
              </w:rPr>
              <w:t>能,如太阳能集热器</w:t>
            </w:r>
            <w:r>
              <w:rPr>
                <w:rFonts w:ascii="Times New Roman" w:eastAsia="宋体" w:hAnsi="Times New Roman"/>
                <w:sz w:val="18"/>
              </w:rPr>
              <w:t> </w:t>
            </w:r>
          </w:p>
          <w:p>
            <w:pPr>
              <w:tabs>
                <w:tab w:val="left" w:pos="1871"/>
                <w:tab w:val="left" w:pos="3407"/>
                <w:tab w:val="left" w:pos="4949"/>
                <w:tab w:val="left" w:pos="6599"/>
              </w:tabs>
              <w:rPr>
                <w:rFonts w:ascii="Times New Roman" w:eastAsia="宋体" w:hAnsi="Times New Roman"/>
                <w:sz w:val="18"/>
              </w:rPr>
            </w:pPr>
            <w:r>
              <w:rPr>
                <w:rFonts w:ascii="Times New Roman" w:eastAsia="宋体" w:hAnsi="Times New Roman"/>
                <w:sz w:val="18"/>
              </w:rPr>
              <w:t>2</w:t>
            </w:r>
            <w:r>
              <w:rPr>
                <w:rFonts w:ascii="Times New Roman" w:eastAsia="宋体" w:hAnsi="Times New Roman" w:cs="Times New Roman"/>
                <w:sz w:val="18"/>
              </w:rPr>
              <w:t>.</w:t>
            </w:r>
            <w:r>
              <w:rPr>
                <w:rFonts w:ascii="Times New Roman" w:eastAsia="宋体" w:hAnsi="宋体"/>
                <w:sz w:val="18"/>
              </w:rPr>
              <w:t>通过光电转换将太阳能转换成</w:t>
            </w:r>
            <w:r>
              <w:rPr>
                <w:rFonts w:ascii="Times New Roman" w:eastAsia="宋体" w:hAnsi="宋体"/>
                <w:color w:val="FF00FF"/>
                <w:sz w:val="18"/>
                <w:u w:val="single" w:color="000000"/>
              </w:rPr>
              <w:t>　电　</w:t>
            </w:r>
            <w:r>
              <w:rPr>
                <w:rFonts w:ascii="Times New Roman" w:eastAsia="宋体" w:hAnsi="宋体"/>
                <w:sz w:val="18"/>
              </w:rPr>
              <w:t>能,如太阳能电池</w:t>
            </w:r>
            <w:r>
              <w:rPr>
                <w:rFonts w:ascii="Times New Roman" w:eastAsia="宋体" w:hAnsi="Times New Roman"/>
                <w:sz w:val="18"/>
              </w:rPr>
              <w:t> </w:t>
            </w:r>
          </w:p>
          <w:p>
            <w:pPr>
              <w:tabs>
                <w:tab w:val="left" w:pos="1871"/>
                <w:tab w:val="left" w:pos="3407"/>
                <w:tab w:val="left" w:pos="4949"/>
                <w:tab w:val="left" w:pos="6599"/>
              </w:tabs>
              <w:rPr>
                <w:sz w:val="18"/>
              </w:rPr>
            </w:pPr>
            <w:r>
              <w:rPr>
                <w:rFonts w:ascii="Times New Roman" w:eastAsia="宋体" w:hAnsi="Times New Roman"/>
                <w:sz w:val="18"/>
              </w:rPr>
              <w:t>3</w:t>
            </w:r>
            <w:r>
              <w:rPr>
                <w:rFonts w:ascii="Times New Roman" w:eastAsia="宋体" w:hAnsi="Times New Roman" w:cs="Times New Roman"/>
                <w:sz w:val="18"/>
              </w:rPr>
              <w:t>.</w:t>
            </w:r>
            <w:r>
              <w:rPr>
                <w:rFonts w:ascii="Times New Roman" w:eastAsia="宋体" w:hAnsi="宋体"/>
                <w:sz w:val="18"/>
              </w:rPr>
              <w:t>太阳能转化成</w:t>
            </w:r>
            <w:r>
              <w:rPr>
                <w:rFonts w:ascii="Times New Roman" w:eastAsia="宋体" w:hAnsi="宋体"/>
                <w:color w:val="FF00FF"/>
                <w:sz w:val="18"/>
                <w:u w:val="single" w:color="000000"/>
              </w:rPr>
              <w:t>　化学　</w:t>
            </w:r>
            <w:r>
              <w:rPr>
                <w:rFonts w:ascii="Times New Roman" w:eastAsia="宋体" w:hAnsi="宋体"/>
                <w:sz w:val="18"/>
              </w:rPr>
              <w:t>能,如太阳制氢</w:t>
            </w:r>
            <w:r>
              <w:rPr>
                <w:rFonts w:ascii="Times New Roman" w:eastAsia="宋体" w:hAnsi="Times New Roman"/>
                <w:sz w:val="18"/>
              </w:rPr>
              <w:t> </w:t>
            </w:r>
          </w:p>
        </w:tc>
      </w:tr>
      <w:tr>
        <w:tblPrEx>
          <w:tblW w:w="8434" w:type="dxa"/>
          <w:jc w:val="center"/>
          <w:tblInd w:w="-64" w:type="dxa"/>
          <w:tblLayout w:type="fixed"/>
          <w:tblCellMar>
            <w:top w:w="0" w:type="dxa"/>
            <w:left w:w="108" w:type="dxa"/>
            <w:bottom w:w="0" w:type="dxa"/>
            <w:right w:w="108" w:type="dxa"/>
          </w:tblCellMar>
        </w:tblPrEx>
        <w:trPr>
          <w:jc w:val="center"/>
        </w:trPr>
        <w:tc>
          <w:tcPr>
            <w:tcW w:w="934" w:type="dxa"/>
            <w:vMerge w:val="restart"/>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核</w:t>
            </w:r>
          </w:p>
          <w:p>
            <w:pPr>
              <w:tabs>
                <w:tab w:val="left" w:pos="1871"/>
                <w:tab w:val="left" w:pos="3407"/>
                <w:tab w:val="left" w:pos="4949"/>
                <w:tab w:val="left" w:pos="6599"/>
              </w:tabs>
              <w:jc w:val="center"/>
              <w:rPr>
                <w:sz w:val="18"/>
              </w:rPr>
            </w:pPr>
            <w:r>
              <w:rPr>
                <w:rFonts w:ascii="Times New Roman" w:eastAsia="宋体" w:hAnsi="宋体"/>
                <w:sz w:val="18"/>
              </w:rPr>
              <w:t>能</w:t>
            </w:r>
          </w:p>
        </w:tc>
        <w:tc>
          <w:tcPr>
            <w:tcW w:w="4958" w:type="dxa"/>
            <w:shd w:val="clear" w:color="auto" w:fill="auto"/>
            <w:tcMar>
              <w:left w:w="105" w:type="dxa"/>
              <w:right w:w="105"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释放的方式</w:t>
            </w:r>
          </w:p>
        </w:tc>
        <w:tc>
          <w:tcPr>
            <w:tcW w:w="2542"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应用</w:t>
            </w:r>
          </w:p>
        </w:tc>
      </w:tr>
      <w:tr>
        <w:tblPrEx>
          <w:tblW w:w="8434" w:type="dxa"/>
          <w:jc w:val="center"/>
          <w:tblInd w:w="-64" w:type="dxa"/>
          <w:tblLayout w:type="fixed"/>
          <w:tblCellMar>
            <w:top w:w="0" w:type="dxa"/>
            <w:left w:w="108" w:type="dxa"/>
            <w:bottom w:w="0" w:type="dxa"/>
            <w:right w:w="108" w:type="dxa"/>
          </w:tblCellMar>
        </w:tblPrEx>
        <w:trPr>
          <w:jc w:val="center"/>
        </w:trPr>
        <w:tc>
          <w:tcPr>
            <w:tcW w:w="934"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4958"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核</w:t>
            </w:r>
            <w:r>
              <w:rPr>
                <w:rFonts w:ascii="Times New Roman" w:eastAsia="宋体" w:hAnsi="宋体"/>
                <w:color w:val="FF00FF"/>
                <w:sz w:val="18"/>
                <w:u w:val="single" w:color="000000"/>
              </w:rPr>
              <w:t>　裂　</w:t>
            </w:r>
            <w:r>
              <w:rPr>
                <w:rFonts w:ascii="Times New Roman" w:eastAsia="宋体" w:hAnsi="宋体"/>
                <w:sz w:val="18"/>
              </w:rPr>
              <w:t>变:质量较大的原子核在分裂成质量较小核的过程中会释放出巨大的能量</w:t>
            </w:r>
            <w:r>
              <w:rPr>
                <w:rFonts w:ascii="Times New Roman" w:eastAsia="宋体" w:hAnsi="Times New Roman"/>
                <w:sz w:val="18"/>
              </w:rPr>
              <w:t> </w:t>
            </w:r>
          </w:p>
        </w:tc>
        <w:tc>
          <w:tcPr>
            <w:tcW w:w="2542"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原子弹、核电站</w:t>
            </w:r>
          </w:p>
        </w:tc>
      </w:tr>
      <w:tr>
        <w:tblPrEx>
          <w:tblW w:w="8434" w:type="dxa"/>
          <w:jc w:val="center"/>
          <w:tblInd w:w="-64" w:type="dxa"/>
          <w:tblLayout w:type="fixed"/>
          <w:tblCellMar>
            <w:top w:w="0" w:type="dxa"/>
            <w:left w:w="108" w:type="dxa"/>
            <w:bottom w:w="0" w:type="dxa"/>
            <w:right w:w="108" w:type="dxa"/>
          </w:tblCellMar>
        </w:tblPrEx>
        <w:trPr>
          <w:jc w:val="center"/>
        </w:trPr>
        <w:tc>
          <w:tcPr>
            <w:tcW w:w="934" w:type="dxa"/>
            <w:vMerge/>
            <w:shd w:val="clear" w:color="auto" w:fill="auto"/>
            <w:tcMar>
              <w:left w:w="0" w:type="dxa"/>
              <w:right w:w="0" w:type="dxa"/>
            </w:tcMar>
            <w:vAlign w:val="center"/>
          </w:tcPr>
          <w:p>
            <w:pPr>
              <w:tabs>
                <w:tab w:val="left" w:pos="1871"/>
                <w:tab w:val="left" w:pos="3407"/>
                <w:tab w:val="left" w:pos="4949"/>
                <w:tab w:val="left" w:pos="6599"/>
              </w:tabs>
              <w:jc w:val="center"/>
              <w:rPr>
                <w:sz w:val="18"/>
              </w:rPr>
            </w:pPr>
          </w:p>
        </w:tc>
        <w:tc>
          <w:tcPr>
            <w:tcW w:w="4958" w:type="dxa"/>
            <w:shd w:val="clear" w:color="auto" w:fill="auto"/>
            <w:tcMar>
              <w:left w:w="105" w:type="dxa"/>
              <w:right w:w="105" w:type="dxa"/>
            </w:tcMar>
            <w:vAlign w:val="center"/>
          </w:tcPr>
          <w:p>
            <w:pPr>
              <w:tabs>
                <w:tab w:val="left" w:pos="1871"/>
                <w:tab w:val="left" w:pos="3407"/>
                <w:tab w:val="left" w:pos="4949"/>
                <w:tab w:val="left" w:pos="6599"/>
              </w:tabs>
              <w:rPr>
                <w:sz w:val="18"/>
              </w:rPr>
            </w:pPr>
            <w:r>
              <w:rPr>
                <w:rFonts w:ascii="Times New Roman" w:eastAsia="宋体" w:hAnsi="宋体"/>
                <w:sz w:val="18"/>
              </w:rPr>
              <w:t>核</w:t>
            </w:r>
            <w:r>
              <w:rPr>
                <w:rFonts w:ascii="Times New Roman" w:eastAsia="宋体" w:hAnsi="宋体"/>
                <w:color w:val="FF00FF"/>
                <w:sz w:val="18"/>
                <w:u w:val="single" w:color="000000"/>
              </w:rPr>
              <w:t>　聚　</w:t>
            </w:r>
            <w:r>
              <w:rPr>
                <w:rFonts w:ascii="Times New Roman" w:eastAsia="宋体" w:hAnsi="宋体"/>
                <w:sz w:val="18"/>
              </w:rPr>
              <w:t>变:质量较小的原子核(  如氘核与氚核  )在高温条件下会结合成质量较大的原子核,聚变过程中也会释放出较大的能量</w:t>
            </w:r>
            <w:r>
              <w:rPr>
                <w:rFonts w:ascii="Times New Roman" w:eastAsia="宋体" w:hAnsi="Times New Roman"/>
                <w:sz w:val="18"/>
              </w:rPr>
              <w:t> </w:t>
            </w:r>
          </w:p>
        </w:tc>
        <w:tc>
          <w:tcPr>
            <w:tcW w:w="2542" w:type="dxa"/>
            <w:shd w:val="clear" w:color="auto" w:fill="auto"/>
            <w:tcMar>
              <w:left w:w="0" w:type="dxa"/>
              <w:right w:w="0" w:type="dxa"/>
            </w:tcMar>
            <w:vAlign w:val="center"/>
          </w:tcPr>
          <w:p>
            <w:pPr>
              <w:tabs>
                <w:tab w:val="left" w:pos="1871"/>
                <w:tab w:val="left" w:pos="3407"/>
                <w:tab w:val="left" w:pos="4949"/>
                <w:tab w:val="left" w:pos="6599"/>
              </w:tabs>
              <w:rPr>
                <w:sz w:val="18"/>
              </w:rPr>
            </w:pPr>
            <w:r>
              <w:rPr>
                <w:rFonts w:ascii="Times New Roman" w:eastAsia="宋体" w:hAnsi="宋体"/>
                <w:sz w:val="18"/>
              </w:rPr>
              <w:t>太阳内部释放能量、氢弹</w:t>
            </w:r>
          </w:p>
        </w:tc>
      </w:tr>
      <w:tr>
        <w:tblPrEx>
          <w:tblW w:w="8434" w:type="dxa"/>
          <w:jc w:val="center"/>
          <w:tblInd w:w="-64" w:type="dxa"/>
          <w:tblLayout w:type="fixed"/>
          <w:tblCellMar>
            <w:top w:w="0" w:type="dxa"/>
            <w:left w:w="108" w:type="dxa"/>
            <w:bottom w:w="0" w:type="dxa"/>
            <w:right w:w="108" w:type="dxa"/>
          </w:tblCellMar>
        </w:tblPrEx>
        <w:trPr>
          <w:jc w:val="center"/>
        </w:trPr>
        <w:tc>
          <w:tcPr>
            <w:tcW w:w="934" w:type="dxa"/>
            <w:shd w:val="clear" w:color="auto" w:fill="auto"/>
            <w:tcMar>
              <w:left w:w="0" w:type="dxa"/>
              <w:right w:w="0" w:type="dxa"/>
            </w:tcMar>
            <w:vAlign w:val="center"/>
          </w:tcPr>
          <w:p>
            <w:pPr>
              <w:tabs>
                <w:tab w:val="left" w:pos="1871"/>
                <w:tab w:val="left" w:pos="3407"/>
                <w:tab w:val="left" w:pos="4949"/>
                <w:tab w:val="left" w:pos="6599"/>
              </w:tabs>
              <w:jc w:val="center"/>
              <w:rPr>
                <w:rFonts w:ascii="Times New Roman" w:eastAsia="宋体" w:hAnsi="Times New Roman"/>
                <w:sz w:val="18"/>
              </w:rPr>
            </w:pPr>
            <w:r>
              <w:rPr>
                <w:rFonts w:ascii="Times New Roman" w:eastAsia="宋体" w:hAnsi="宋体"/>
                <w:sz w:val="18"/>
              </w:rPr>
              <w:t>其他新</w:t>
            </w:r>
          </w:p>
          <w:p>
            <w:pPr>
              <w:tabs>
                <w:tab w:val="left" w:pos="1871"/>
                <w:tab w:val="left" w:pos="3407"/>
                <w:tab w:val="left" w:pos="4949"/>
                <w:tab w:val="left" w:pos="6599"/>
              </w:tabs>
              <w:jc w:val="center"/>
              <w:rPr>
                <w:sz w:val="18"/>
              </w:rPr>
            </w:pPr>
            <w:r>
              <w:rPr>
                <w:rFonts w:ascii="Times New Roman" w:eastAsia="宋体" w:hAnsi="宋体"/>
                <w:sz w:val="18"/>
              </w:rPr>
              <w:t>能源</w:t>
            </w:r>
          </w:p>
        </w:tc>
        <w:tc>
          <w:tcPr>
            <w:tcW w:w="7500" w:type="dxa"/>
            <w:gridSpan w:val="2"/>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地热能、潮汐能、风能</w:t>
            </w:r>
            <w:bookmarkStart w:id="0" w:name="_GoBack"/>
            <w:bookmarkEnd w:id="0"/>
          </w:p>
        </w:tc>
      </w:tr>
    </w:tbl>
    <w:p>
      <w:pPr>
        <w:tabs>
          <w:tab w:val="left" w:pos="1871"/>
          <w:tab w:val="left" w:pos="3407"/>
          <w:tab w:val="left" w:pos="4949"/>
          <w:tab w:val="left" w:pos="6599"/>
        </w:tabs>
        <w:jc w:val="center"/>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Arial" w:eastAsia="黑体" w:hAnsi="黑体"/>
        </w:rPr>
        <w:t>解决能源的主要途径</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 xml:space="preserve">  )提高能源的利用效率,减小能源使用对环境的污染。</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 xml:space="preserve">  )开发新能源。未来的新能源应满足的条件:储量丰富、价格便宜、技术成熟、清洁安全。</w:t>
      </w:r>
    </w:p>
    <w:p>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600075" cy="156210"/>
            <wp:effectExtent l="0" t="0" r="9525" b="15240"/>
            <wp:docPr id="1100" name="温馨提示.EPS" descr="id:21475119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5466" name="温馨提示.EPS" descr="id:2147511937;FounderCES"/>
                    <pic:cNvPicPr>
                      <a:picLocks noChangeAspect="1"/>
                    </pic:cNvPicPr>
                  </pic:nvPicPr>
                  <pic:blipFill>
                    <a:blip xmlns:r="http://schemas.openxmlformats.org/officeDocument/2006/relationships" r:embed="rId15"/>
                    <a:stretch>
                      <a:fillRect/>
                    </a:stretch>
                  </pic:blipFill>
                  <pic:spPr>
                    <a:xfrm>
                      <a:off x="0" y="0"/>
                      <a:ext cx="600120" cy="156600"/>
                    </a:xfrm>
                    <a:prstGeom prst="rect">
                      <a:avLst/>
                    </a:prstGeom>
                  </pic:spPr>
                </pic:pic>
              </a:graphicData>
            </a:graphic>
          </wp:inline>
        </w:drawing>
      </w:r>
    </w:p>
    <w:p>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仿宋" w:hAnsi="仿宋"/>
        </w:rPr>
        <w:t>能源和能量是两个不同的概念。能源是储存有能量的介质</w:t>
      </w:r>
      <w:r>
        <w:rPr>
          <w:rFonts w:ascii="Times New Roman" w:eastAsia="宋体" w:hAnsi="宋体"/>
        </w:rPr>
        <w:t xml:space="preserve">(  </w:t>
      </w:r>
      <w:r>
        <w:rPr>
          <w:rFonts w:ascii="Times New Roman" w:eastAsia="仿宋" w:hAnsi="仿宋"/>
        </w:rPr>
        <w:t>物质</w:t>
      </w:r>
      <w:r>
        <w:rPr>
          <w:rFonts w:ascii="Times New Roman" w:eastAsia="宋体" w:hAnsi="宋体"/>
        </w:rPr>
        <w:t xml:space="preserve">  ),</w:t>
      </w:r>
      <w:r>
        <w:rPr>
          <w:rFonts w:ascii="Times New Roman" w:eastAsia="仿宋" w:hAnsi="仿宋"/>
        </w:rPr>
        <w:t>能源能释放出能量</w:t>
      </w:r>
      <w:r>
        <w:rPr>
          <w:rFonts w:ascii="Times New Roman" w:eastAsia="宋体" w:hAnsi="宋体"/>
        </w:rPr>
        <w:t>,</w:t>
      </w:r>
      <w:r>
        <w:rPr>
          <w:rFonts w:ascii="Times New Roman" w:eastAsia="仿宋" w:hAnsi="仿宋"/>
        </w:rPr>
        <w:t>能量被储存在能源中。能量是虚拟物</w:t>
      </w:r>
      <w:r>
        <w:rPr>
          <w:rFonts w:ascii="Times New Roman" w:eastAsia="宋体" w:hAnsi="宋体"/>
        </w:rPr>
        <w:t>,</w:t>
      </w:r>
      <w:r>
        <w:rPr>
          <w:rFonts w:ascii="Times New Roman" w:eastAsia="仿宋" w:hAnsi="仿宋"/>
        </w:rPr>
        <w:t>是一个重要的物理量</w:t>
      </w:r>
      <w:r>
        <w:rPr>
          <w:rFonts w:ascii="Times New Roman" w:eastAsia="宋体" w:hAnsi="宋体"/>
        </w:rPr>
        <w:t>,</w:t>
      </w:r>
      <w:r>
        <w:rPr>
          <w:rFonts w:ascii="Times New Roman" w:eastAsia="仿宋" w:hAnsi="仿宋"/>
        </w:rPr>
        <w:t>是物体做功本领的一个量度</w:t>
      </w:r>
      <w:r>
        <w:rPr>
          <w:rFonts w:ascii="Times New Roman" w:eastAsia="宋体" w:hAnsi="宋体"/>
        </w:rPr>
        <w:t>,</w:t>
      </w:r>
      <w:r>
        <w:rPr>
          <w:rFonts w:ascii="Times New Roman" w:eastAsia="仿宋" w:hAnsi="仿宋"/>
        </w:rPr>
        <w:t>而能源是实体</w:t>
      </w:r>
      <w:r>
        <w:rPr>
          <w:rFonts w:ascii="Times New Roman" w:eastAsia="宋体" w:hAnsi="宋体"/>
        </w:rPr>
        <w:t>,</w:t>
      </w:r>
      <w:r>
        <w:rPr>
          <w:rFonts w:ascii="Times New Roman" w:eastAsia="仿宋" w:hAnsi="仿宋"/>
        </w:rPr>
        <w:t>不是物理量。后面讲某类能源有危机</w:t>
      </w:r>
      <w:r>
        <w:rPr>
          <w:rFonts w:ascii="Times New Roman" w:eastAsia="宋体" w:hAnsi="宋体"/>
        </w:rPr>
        <w:t>,</w:t>
      </w:r>
      <w:r>
        <w:rPr>
          <w:rFonts w:ascii="Times New Roman" w:eastAsia="仿宋" w:hAnsi="仿宋"/>
        </w:rPr>
        <w:t>但没有能量危机的说法。</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465455" cy="151130"/>
            <wp:effectExtent l="0" t="0" r="10795" b="1270"/>
            <wp:docPr id="1101" name="物理例.EPS" descr="id:21475119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675022" name="物理例.EPS" descr="id:2147511944;FounderCES"/>
                    <pic:cNvPicPr>
                      <a:picLocks noChangeAspect="1"/>
                    </pic:cNvPicPr>
                  </pic:nvPicPr>
                  <pic:blipFill>
                    <a:blip xmlns:r="http://schemas.openxmlformats.org/officeDocument/2006/relationships" r:embed="rId12"/>
                    <a:stretch>
                      <a:fillRect/>
                    </a:stretch>
                  </pic:blipFill>
                  <pic:spPr>
                    <a:xfrm>
                      <a:off x="0" y="0"/>
                      <a:ext cx="465840" cy="151560"/>
                    </a:xfrm>
                    <a:prstGeom prst="rect">
                      <a:avLst/>
                    </a:prstGeom>
                  </pic:spPr>
                </pic:pic>
              </a:graphicData>
            </a:graphic>
          </wp:inline>
        </w:drawing>
      </w:r>
      <w:r>
        <w:rPr>
          <w:rFonts w:ascii="Arial" w:eastAsia="黑体" w:hAnsi="黑体"/>
          <w:sz w:val="20"/>
        </w:rPr>
        <w:t>典例</w:t>
      </w:r>
      <w:r>
        <w:rPr>
          <w:rFonts w:ascii="Times New Roman" w:eastAsia="宋体" w:hAnsi="Times New Roman"/>
          <w:b/>
          <w:sz w:val="20"/>
        </w:rPr>
        <w:t>2</w:t>
      </w:r>
      <w:r>
        <w:rPr>
          <w:rFonts w:ascii="Times New Roman" w:eastAsia="宋体" w:hAnsi="宋体"/>
        </w:rPr>
        <w:t xml:space="preserve">　(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四川巴中</w:t>
      </w:r>
      <w:r>
        <w:rPr>
          <w:rFonts w:ascii="Times New Roman" w:eastAsia="宋体" w:hAnsi="宋体"/>
        </w:rPr>
        <w:t xml:space="preserve">  )下列关于能源说法正确的是</w:t>
      </w:r>
      <w:r>
        <w:ptab w:relativeTo="margin" w:alignment="right" w:leader="none"/>
      </w:r>
      <w:r>
        <w:rPr>
          <w:rFonts w:ascii="Times New Roman" w:eastAsia="宋体" w:hAnsi="宋体"/>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太阳能是清洁能源</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核能是可再生能源</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煤是新型能源</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电能是一次能源</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楷体" w:hAnsi="楷体"/>
          <w:color w:val="FF00FF"/>
        </w:rPr>
        <w:t>太阳能安全、清洁</w:t>
      </w:r>
      <w:r>
        <w:rPr>
          <w:rFonts w:ascii="Times New Roman" w:eastAsia="宋体" w:hAnsi="宋体"/>
          <w:color w:val="FF00FF"/>
        </w:rPr>
        <w:t>,</w:t>
      </w:r>
      <w:r>
        <w:rPr>
          <w:rFonts w:ascii="Times New Roman" w:eastAsia="楷体" w:hAnsi="楷体"/>
          <w:color w:val="FF00FF"/>
        </w:rPr>
        <w:t>开发和利用太阳能不会给环境带来污染</w:t>
      </w:r>
      <w:r>
        <w:rPr>
          <w:rFonts w:ascii="Times New Roman" w:eastAsia="宋体" w:hAnsi="宋体"/>
          <w:color w:val="FF00FF"/>
        </w:rPr>
        <w:t>,</w:t>
      </w:r>
      <w:r>
        <w:rPr>
          <w:rFonts w:ascii="Times New Roman" w:eastAsia="楷体" w:hAnsi="楷体"/>
          <w:color w:val="FF00FF"/>
        </w:rPr>
        <w:t>太阳能是清洁能源</w:t>
      </w:r>
      <w:r>
        <w:rPr>
          <w:rFonts w:ascii="Times New Roman" w:eastAsia="宋体" w:hAnsi="宋体"/>
          <w:color w:val="FF00FF"/>
        </w:rPr>
        <w:t>,</w:t>
      </w:r>
      <w:r>
        <w:rPr>
          <w:rFonts w:ascii="Times New Roman" w:eastAsia="宋体" w:hAnsi="Times New Roman"/>
          <w:color w:val="FF00FF"/>
        </w:rPr>
        <w:t>A</w:t>
      </w:r>
      <w:r>
        <w:rPr>
          <w:rFonts w:ascii="Times New Roman" w:eastAsia="楷体" w:hAnsi="楷体"/>
          <w:color w:val="FF00FF"/>
        </w:rPr>
        <w:t>项正确</w:t>
      </w:r>
      <w:r>
        <w:rPr>
          <w:rFonts w:ascii="Times New Roman" w:eastAsia="宋体" w:hAnsi="宋体"/>
          <w:color w:val="FF00FF"/>
        </w:rPr>
        <w:t>;</w:t>
      </w:r>
      <w:r>
        <w:rPr>
          <w:rFonts w:ascii="Times New Roman" w:eastAsia="楷体" w:hAnsi="楷体"/>
          <w:color w:val="FF00FF"/>
        </w:rPr>
        <w:t>核能属于新能源</w:t>
      </w:r>
      <w:r>
        <w:rPr>
          <w:rFonts w:ascii="Times New Roman" w:eastAsia="宋体" w:hAnsi="宋体"/>
          <w:color w:val="FF00FF"/>
        </w:rPr>
        <w:t>,</w:t>
      </w:r>
      <w:r>
        <w:rPr>
          <w:rFonts w:ascii="Times New Roman" w:eastAsia="楷体" w:hAnsi="楷体"/>
          <w:color w:val="FF00FF"/>
        </w:rPr>
        <w:t>但核材料的储量是一定的</w:t>
      </w:r>
      <w:r>
        <w:rPr>
          <w:rFonts w:ascii="Times New Roman" w:eastAsia="宋体" w:hAnsi="宋体"/>
          <w:color w:val="FF00FF"/>
        </w:rPr>
        <w:t>,</w:t>
      </w:r>
      <w:r>
        <w:rPr>
          <w:rFonts w:ascii="Times New Roman" w:eastAsia="楷体" w:hAnsi="楷体"/>
          <w:color w:val="FF00FF"/>
        </w:rPr>
        <w:t>故核能属于不可再生能源</w:t>
      </w:r>
      <w:r>
        <w:rPr>
          <w:rFonts w:ascii="Times New Roman" w:eastAsia="宋体" w:hAnsi="宋体"/>
          <w:color w:val="FF00FF"/>
        </w:rPr>
        <w:t>,</w:t>
      </w:r>
      <w:r>
        <w:rPr>
          <w:rFonts w:ascii="Times New Roman" w:eastAsia="宋体" w:hAnsi="Times New Roman"/>
          <w:color w:val="FF00FF"/>
        </w:rPr>
        <w:t>B</w:t>
      </w:r>
      <w:r>
        <w:rPr>
          <w:rFonts w:ascii="Times New Roman" w:eastAsia="楷体" w:hAnsi="楷体"/>
          <w:color w:val="FF00FF"/>
        </w:rPr>
        <w:t>项错误</w:t>
      </w:r>
      <w:r>
        <w:rPr>
          <w:rFonts w:ascii="Times New Roman" w:eastAsia="宋体" w:hAnsi="宋体"/>
          <w:color w:val="FF00FF"/>
        </w:rPr>
        <w:t>;</w:t>
      </w:r>
      <w:r>
        <w:rPr>
          <w:rFonts w:ascii="Times New Roman" w:eastAsia="楷体" w:hAnsi="楷体"/>
          <w:color w:val="FF00FF"/>
        </w:rPr>
        <w:t>煤是常规能源</w:t>
      </w:r>
      <w:r>
        <w:rPr>
          <w:rFonts w:ascii="Times New Roman" w:eastAsia="宋体" w:hAnsi="宋体"/>
          <w:color w:val="FF00FF"/>
        </w:rPr>
        <w:t>,</w:t>
      </w:r>
      <w:r>
        <w:rPr>
          <w:rFonts w:ascii="Times New Roman" w:eastAsia="宋体" w:hAnsi="Times New Roman"/>
          <w:color w:val="FF00FF"/>
        </w:rPr>
        <w:t>C</w:t>
      </w:r>
      <w:r>
        <w:rPr>
          <w:rFonts w:ascii="Times New Roman" w:eastAsia="楷体" w:hAnsi="楷体"/>
          <w:color w:val="FF00FF"/>
        </w:rPr>
        <w:t>项错误</w:t>
      </w:r>
      <w:r>
        <w:rPr>
          <w:rFonts w:ascii="Times New Roman" w:eastAsia="宋体" w:hAnsi="宋体"/>
          <w:color w:val="FF00FF"/>
        </w:rPr>
        <w:t>;</w:t>
      </w:r>
      <w:r>
        <w:rPr>
          <w:rFonts w:ascii="Times New Roman" w:eastAsia="楷体" w:hAnsi="楷体"/>
          <w:color w:val="FF00FF"/>
        </w:rPr>
        <w:t>电能是由其他能源转化来的</w:t>
      </w:r>
      <w:r>
        <w:rPr>
          <w:rFonts w:ascii="Times New Roman" w:eastAsia="宋体" w:hAnsi="宋体"/>
          <w:color w:val="FF00FF"/>
        </w:rPr>
        <w:t>,</w:t>
      </w:r>
      <w:r>
        <w:rPr>
          <w:rFonts w:ascii="Times New Roman" w:eastAsia="楷体" w:hAnsi="楷体"/>
          <w:color w:val="FF00FF"/>
        </w:rPr>
        <w:t>属于二次能源</w:t>
      </w:r>
      <w:r>
        <w:rPr>
          <w:rFonts w:ascii="Times New Roman" w:eastAsia="宋体" w:hAnsi="宋体"/>
          <w:color w:val="FF00FF"/>
        </w:rPr>
        <w:t>,</w:t>
      </w:r>
      <w:r>
        <w:rPr>
          <w:rFonts w:ascii="Times New Roman" w:eastAsia="宋体" w:hAnsi="Times New Roman"/>
          <w:color w:val="FF00FF"/>
        </w:rPr>
        <w:t>D</w:t>
      </w:r>
      <w:r>
        <w:rPr>
          <w:rFonts w:ascii="Times New Roman" w:eastAsia="楷体" w:hAnsi="楷体"/>
          <w:color w:val="FF00FF"/>
        </w:rPr>
        <w:t>项错误。</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【答案】</w:t>
      </w:r>
      <w:r>
        <w:rPr>
          <w:rFonts w:ascii="Times New Roman" w:eastAsia="宋体" w:hAnsi="Times New Roman"/>
          <w:color w:val="FF00FF"/>
        </w:rPr>
        <w:t xml:space="preserve"> A</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1102" name="19前括.EPS" descr="id:21475119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42409" name="19前括.EPS" descr="id:2147511951;FounderCES"/>
                    <pic:cNvPicPr>
                      <a:picLocks noChangeAspect="1"/>
                    </pic:cNvPicPr>
                  </pic:nvPicPr>
                  <pic:blipFill>
                    <a:blip xmlns:r="http://schemas.openxmlformats.org/officeDocument/2006/relationships" r:embed="rId13"/>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1103" name="19后括.EPS" descr="id:21475119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98935" name="19后括.EPS" descr="id:2147511958;FounderCES"/>
                    <pic:cNvPicPr>
                      <a:picLocks noChangeAspect="1"/>
                    </pic:cNvPicPr>
                  </pic:nvPicPr>
                  <pic:blipFill>
                    <a:blip xmlns:r="http://schemas.openxmlformats.org/officeDocument/2006/relationships" r:embed="rId14"/>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武汉</w:t>
      </w:r>
      <w:r>
        <w:rPr>
          <w:rFonts w:ascii="Times New Roman" w:eastAsia="宋体" w:hAnsi="宋体"/>
        </w:rPr>
        <w:t xml:space="preserve">  )关于核能和太阳能,下列说法错误的是</w:t>
      </w:r>
      <w:r>
        <w:rPr>
          <w:rFonts w:ascii="Times New Roman" w:eastAsia="宋体" w:hAnsi="Times New Roman"/>
        </w:rPr>
        <w:t xml:space="preserve">( </w:t>
      </w:r>
      <w:r>
        <w:rPr>
          <w:rFonts w:ascii="Times New Roman" w:eastAsia="宋体" w:hAnsi="宋体"/>
        </w:rPr>
        <w:t xml:space="preserve"> </w:t>
      </w:r>
      <w:r>
        <w:rPr>
          <w:rFonts w:ascii="Times New Roman" w:eastAsia="宋体" w:hAnsi="Times New Roman"/>
          <w:color w:val="FF00FF"/>
        </w:rPr>
        <w:t>A</w:t>
      </w:r>
      <w:r>
        <w:rPr>
          <w:rFonts w:ascii="Times New Roman" w:eastAsia="宋体" w:hAnsi="宋体"/>
        </w:rPr>
        <w:t xml:space="preserve">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裂变也称为热核反应,裂变时会释放出巨大的核能</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核电站利用核能发电,它的核心设备是反应堆</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太阳能是可再生能源,核能是不可再生能源</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太阳能和核能均属于一次能源</w:t>
      </w:r>
    </w:p>
    <w:p>
      <w:pPr>
        <w:pBdr>
          <w:top w:val="single" w:sz="8" w:space="1" w:color="auto"/>
          <w:left w:val="single" w:sz="8" w:space="4" w:color="auto"/>
          <w:bottom w:val="single" w:sz="8" w:space="1" w:color="auto"/>
          <w:right w:val="single" w:sz="8" w:space="4" w:color="auto"/>
        </w:pBdr>
        <w:shd w:val="solid" w:color="FFE3FF" w:fill="auto"/>
        <w:tabs>
          <w:tab w:val="left" w:pos="1871"/>
          <w:tab w:val="left" w:pos="3407"/>
          <w:tab w:val="left" w:pos="4949"/>
          <w:tab w:val="left" w:pos="6599"/>
        </w:tabs>
        <w:rPr>
          <w:rFonts w:ascii="Times New Roman" w:eastAsia="宋体" w:hAnsi="Times New Roman"/>
        </w:rPr>
      </w:pPr>
      <w:r>
        <w:rPr>
          <w:rFonts w:ascii="Arial" w:eastAsia="黑体" w:hAnsi="黑体"/>
        </w:rPr>
        <w:t>本节课后练</w:t>
      </w:r>
      <w:r>
        <w:rPr>
          <w:rFonts w:eastAsia="NEU-BZ-S92"/>
          <w:sz w:val="28"/>
        </w:rPr>
        <w:t>☞</w:t>
      </w:r>
      <w:r>
        <w:rPr>
          <w:rFonts w:ascii="Times New Roman" w:eastAsia="楷体" w:hAnsi="楷体"/>
        </w:rPr>
        <w:t>见强化练习册</w:t>
      </w:r>
      <w:r>
        <w:rPr>
          <w:rFonts w:ascii="Times New Roman" w:eastAsia="宋体" w:hAnsi="宋体"/>
        </w:rPr>
        <w:t xml:space="preserve">(  </w:t>
      </w:r>
      <w:r>
        <w:rPr>
          <w:rFonts w:ascii="Times New Roman" w:eastAsia="楷体" w:hAnsi="楷体"/>
        </w:rPr>
        <w:t>教用</w:t>
      </w:r>
      <w:r>
        <w:rPr>
          <w:rFonts w:ascii="Times New Roman" w:eastAsia="宋体" w:hAnsi="Times New Roman"/>
        </w:rPr>
        <w:t>P55</w:t>
      </w:r>
      <w:r>
        <w:rPr>
          <w:rFonts w:ascii="Times New Roman" w:eastAsia="宋体" w:hAnsi="宋体"/>
        </w:rPr>
        <w:t>;</w:t>
      </w:r>
      <w:r>
        <w:rPr>
          <w:rFonts w:ascii="Times New Roman" w:eastAsia="楷体" w:hAnsi="楷体"/>
        </w:rPr>
        <w:t>学用</w:t>
      </w:r>
      <w:r>
        <w:rPr>
          <w:rFonts w:ascii="Times New Roman" w:eastAsia="宋体" w:hAnsi="Times New Roman"/>
        </w:rPr>
        <w:t>P47</w:t>
      </w:r>
      <w:r>
        <w:rPr>
          <w:rFonts w:ascii="Times New Roman" w:eastAsia="宋体" w:hAnsi="宋体"/>
        </w:rPr>
        <w:t xml:space="preserve">  )</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2010600010101010101"/>
    <w:charset w:val="86"/>
    <w:family w:val="auto"/>
    <w:pitch w:val="default"/>
    <w:sig w:usb0="00000000" w:usb1="00000000" w:usb2="05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3F6ED9"/>
    <w:rsid w:val="2B354DA1"/>
    <w:rsid w:val="653F6ED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S92"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2019-10-23T06:54:00Z</dcterms:created>
  <dcterms:modified xsi:type="dcterms:W3CDTF">2019-10-24T01:57:45Z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