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pPr>
        <w:jc w:val="center"/>
        <w:rPr>
          <w:rFonts w:ascii="宋体" w:hAnsi="宋体" w:cs="宋体"/>
          <w:b/>
          <w:bCs/>
          <w:sz w:val="30"/>
          <w:szCs w:val="30"/>
        </w:rPr>
      </w:pPr>
      <w:r>
        <w:rPr>
          <w:rFonts w:ascii="宋体" w:hAnsi="宋体" w:cs="宋体"/>
          <w:b/>
          <w:bCs/>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0pt;margin-left:801pt;margin-top:904pt;mso-position-horizontal-relative:page;mso-position-vertical-relative:top-margin-area;position:absolute;width:20pt;z-index:251658240">
            <v:imagedata r:id="rId6" o:title=""/>
          </v:shape>
        </w:pict>
      </w:r>
      <w:r>
        <w:rPr>
          <w:rFonts w:ascii="宋体" w:hAnsi="宋体" w:cs="宋体"/>
          <w:b/>
          <w:bCs/>
          <w:sz w:val="30"/>
          <w:szCs w:val="30"/>
        </w:rPr>
        <w:t>（人教实验版） 九年级（全一册） 第十三章 第3节 比热容 课时练 （锦州中学）</w:t>
      </w:r>
    </w:p>
    <w:p>
      <w:pPr>
        <w:widowControl/>
        <w:spacing w:before="0" w:after="0" w:line="240" w:lineRule="auto"/>
        <w:ind w:left="0" w:right="0"/>
        <w:jc w:val="center"/>
      </w:pPr>
      <w:r>
        <w:rPr>
          <w:rFonts w:ascii="宋体" w:eastAsia="宋体" w:hAnsi="宋体" w:cs="宋体"/>
          <w:color w:val="000000"/>
          <w:sz w:val="21"/>
          <w:szCs w:val="21"/>
        </w:rPr>
        <w:t>学校</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姓名</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班级</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考号</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u w:val="single"/>
        </w:rPr>
        <w:t>            </w:t>
      </w:r>
    </w:p>
    <w:tbl>
      <w:tblPr>
        <w:tblStyle w:val="TableGridPHPDOC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00"/>
        <w:gridCol w:w="1000"/>
        <w:gridCol w:w="5000"/>
      </w:tblGrid>
      <w:tr>
        <w:tblPrE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评卷人</w:t>
            </w:r>
          </w:p>
        </w:tc>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得分</w:t>
            </w:r>
          </w:p>
        </w:tc>
        <w:tc>
          <w:tcPr>
            <w:tcW w:w="5000" w:type="dxa"/>
            <w:vMerge w:val="restart"/>
            <w:tcBorders>
              <w:top w:val="nil"/>
              <w:left w:val="nil"/>
              <w:bottom w:val="nil"/>
              <w:right w:val="nil"/>
            </w:tcBorders>
            <w:vAlign w:val="center"/>
          </w:tcPr>
          <w:p>
            <w:pPr>
              <w:spacing w:after="0" w:line="240" w:lineRule="auto"/>
            </w:pPr>
            <w:r>
              <w:rPr>
                <w:b/>
                <w:bCs/>
              </w:rPr>
              <w:t>一、单选题</w:t>
            </w:r>
          </w:p>
        </w:tc>
      </w:tr>
      <w:tr>
        <w:tblPrEx>
          <w:tblW w:w="7000" w:type="dxa"/>
          <w:tblInd w:w="0" w:type="dxa"/>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5000" w:type="dxa"/>
            <w:vMerge/>
            <w:tcBorders>
              <w:top w:val="nil"/>
              <w:left w:val="nil"/>
              <w:bottom w:val="nil"/>
              <w:right w:val="nil"/>
            </w:tcBorders>
            <w:vAlign w:val="center"/>
          </w:tcPr>
          <w:p>
            <w:pPr>
              <w:spacing w:after="0" w:line="240" w:lineRule="auto"/>
            </w:pPr>
          </w:p>
        </w:tc>
      </w:tr>
    </w:tbl>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1. </w:t>
      </w:r>
      <w:r>
        <w:rPr>
          <w:rFonts w:ascii="宋体" w:eastAsia="宋体" w:hAnsi="宋体" w:cs="宋体"/>
          <w:color w:val="000000"/>
          <w:sz w:val="21"/>
          <w:szCs w:val="21"/>
        </w:rPr>
        <w:t>一瓶矿泉水结冰后</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不发生改变的物理量是</w:t>
      </w:r>
      <w:r>
        <w:rPr>
          <w:rFonts w:ascii="Times New Roman" w:eastAsia="Times New Roman" w:hAnsi="Times New Roman" w:cs="Times New Roman"/>
          <w:color w:val="000000"/>
          <w:sz w:val="21"/>
          <w:szCs w:val="21"/>
        </w:rPr>
        <w:t>    (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A. </w:t>
      </w:r>
      <w:r>
        <w:rPr>
          <w:rFonts w:ascii="宋体" w:eastAsia="宋体" w:hAnsi="宋体" w:cs="宋体"/>
          <w:color w:val="000000"/>
          <w:sz w:val="21"/>
          <w:szCs w:val="21"/>
        </w:rPr>
        <w:t>质量</w:t>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比热容</w:t>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内能</w:t>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密度</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2. </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早穿皮袄午穿纱</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围着火炉吃西瓜</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这句民谚反映了我国新疆某些地区夏季昼夜气温变化显著</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而沿海地区不像内陆地区昼夜气温变化那么大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其主要原因是砂石比水具有较小的</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　　</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A. </w:t>
      </w:r>
      <w:r>
        <w:rPr>
          <w:rFonts w:ascii="宋体" w:eastAsia="宋体" w:hAnsi="宋体" w:cs="宋体"/>
          <w:color w:val="000000"/>
          <w:sz w:val="21"/>
          <w:szCs w:val="21"/>
        </w:rPr>
        <w:t>热量</w:t>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密度</w:t>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比热容</w:t>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内能</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3. </w:t>
      </w:r>
      <w:r>
        <w:rPr>
          <w:rFonts w:ascii="宋体" w:eastAsia="宋体" w:hAnsi="宋体" w:cs="宋体"/>
          <w:color w:val="000000"/>
          <w:sz w:val="21"/>
          <w:szCs w:val="21"/>
        </w:rPr>
        <w:t>状态一定的某种物质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它的比热容</w:t>
      </w:r>
      <w:r>
        <w:rPr>
          <w:rFonts w:ascii="Times New Roman" w:eastAsia="Times New Roman" w:hAnsi="Times New Roman" w:cs="Times New Roman"/>
          <w:color w:val="000000"/>
          <w:sz w:val="21"/>
          <w:szCs w:val="21"/>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宋体" w:eastAsia="宋体" w:hAnsi="宋体" w:cs="宋体"/>
          <w:color w:val="000000"/>
          <w:sz w:val="21"/>
          <w:szCs w:val="21"/>
        </w:rPr>
        <w:t>跟它原来的温度成正比</w:t>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跟它的质量成正比</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跟它吸收的热量成正比</w:t>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是它的特性之一</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与上述无关</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4. </w:t>
      </w:r>
      <w:r>
        <w:rPr>
          <w:rFonts w:ascii="宋体" w:eastAsia="宋体" w:hAnsi="宋体" w:cs="宋体"/>
          <w:color w:val="000000"/>
          <w:sz w:val="21"/>
          <w:szCs w:val="21"/>
        </w:rPr>
        <w:t>由</w:t>
      </w:r>
      <w:r>
        <w:rPr>
          <w:rFonts w:ascii="Times New Roman" w:eastAsia="Times New Roman" w:hAnsi="Times New Roman" w:cs="Times New Roman"/>
          <w:i/>
          <w:iCs/>
          <w:color w:val="000000"/>
          <w:sz w:val="21"/>
          <w:szCs w:val="21"/>
        </w:rPr>
        <w:t>Q=cm</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t-t</w:t>
      </w:r>
      <w:r>
        <w:rPr>
          <w:rFonts w:ascii="Times New Roman" w:eastAsia="Times New Roman" w:hAnsi="Times New Roman" w:cs="Times New Roman"/>
          <w:color w:val="000000"/>
          <w:position w:val="-4"/>
          <w:sz w:val="19"/>
          <w:szCs w:val="19"/>
          <w:vertAlign w:val="subscript"/>
        </w:rPr>
        <w:t>0</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得</w:t>
      </w:r>
      <w:r>
        <w:rPr>
          <w:rFonts w:ascii="Times New Roman" w:eastAsia="Times New Roman" w:hAnsi="Times New Roman" w:cs="Times New Roman"/>
          <w:i/>
          <w:iCs/>
          <w:color w:val="000000"/>
          <w:sz w:val="21"/>
          <w:szCs w:val="21"/>
        </w:rPr>
        <w:t>c=</w:t>
      </w:r>
      <m:oMath>
        <m:f>
          <m:num>
            <m:r>
              <m:t>Q</m:t>
            </m:r>
          </m:num>
          <m:den>
            <m:r>
              <m:t>m</m:t>
            </m:r>
            <m:r>
              <m:rPr>
                <m:nor/>
                <m:sty m:val="p"/>
              </m:rPr>
              <m:t>(</m:t>
            </m:r>
            <m:r>
              <m:t>t</m:t>
            </m:r>
            <m:r>
              <m:rPr>
                <m:nor/>
                <m:sty m:val="p"/>
              </m:rPr>
              <m:t>-</m:t>
            </m:r>
            <m:sSub>
              <m:e>
                <m:r>
                  <m:t>t</m:t>
                </m:r>
              </m:e>
              <m:sub>
                <m:r>
                  <m:t>0</m:t>
                </m:r>
              </m:sub>
            </m:sSub>
            <m:r>
              <m:rPr>
                <m:nor/>
                <m:sty m:val="p"/>
              </m:rPr>
              <m:t>)</m:t>
            </m:r>
          </m:den>
        </m:f>
      </m:oMath>
      <w:r>
        <w:rPr>
          <w:rFonts w:ascii="Times New Roman" w:eastAsia="Times New Roman" w:hAnsi="Times New Roman" w:cs="Times New Roman"/>
          <w:color w:val="000000"/>
          <w:sz w:val="21"/>
          <w:szCs w:val="21"/>
        </w:rPr>
        <w:t>,</w:t>
      </w:r>
      <w:r>
        <w:rPr>
          <w:rFonts w:ascii="宋体" w:eastAsia="宋体" w:hAnsi="宋体" w:cs="宋体"/>
          <w:color w:val="000000"/>
          <w:sz w:val="21"/>
          <w:szCs w:val="21"/>
        </w:rPr>
        <w:t>关于同一种物质的比热容</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下列说法正确的是</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　　</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宋体" w:eastAsia="宋体" w:hAnsi="宋体" w:cs="宋体"/>
          <w:color w:val="000000"/>
          <w:sz w:val="21"/>
          <w:szCs w:val="21"/>
        </w:rPr>
        <w:t>若质量增大一倍</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则比热容减小一半</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若质量增大一倍</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则比热容增大一倍</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比热容与物体质量多少</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温度变化大小</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吸热或放热的多少都无关</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若吸收的热量增大一倍</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则比热容增大一倍</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5. </w:t>
      </w:r>
      <w:r>
        <w:rPr>
          <w:rFonts w:ascii="宋体" w:eastAsia="宋体" w:hAnsi="宋体" w:cs="宋体"/>
          <w:color w:val="000000"/>
          <w:sz w:val="21"/>
          <w:szCs w:val="21"/>
        </w:rPr>
        <w:t>家用电器中大功率电子元件在工作时会产生较多的热量</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为了尽快散热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通常在大功率元件上安装金属散热片</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下表是四种金属材料的比热容</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选作散热片最好的材料是</w:t>
      </w:r>
      <w:r>
        <w:rPr>
          <w:rFonts w:ascii="Times New Roman" w:eastAsia="Times New Roman" w:hAnsi="Times New Roman" w:cs="Times New Roman"/>
          <w:color w:val="000000"/>
          <w:sz w:val="21"/>
          <w:szCs w:val="21"/>
        </w:rPr>
        <w:t> (　　)</w:t>
      </w:r>
    </w:p>
    <w:tbl>
      <w:tblPr>
        <w:tblStyle w:val="TableGridPHPDOCX"/>
        <w:tblW w:w="8720" w:type="dxa"/>
        <w:tblInd w:w="0" w:type="dxa"/>
        <w:tblBorders>
          <w:top w:val="outset" w:sz="4" w:space="0" w:color="808080"/>
          <w:left w:val="outset" w:sz="4" w:space="0" w:color="808080"/>
          <w:bottom w:val="outset" w:sz="4" w:space="0" w:color="808080"/>
          <w:right w:val="outset" w:sz="4" w:space="0" w:color="808080"/>
          <w:insideH w:val="single" w:sz="4" w:space="0" w:color="auto"/>
          <w:insideV w:val="single" w:sz="4" w:space="0" w:color="auto"/>
        </w:tblBorders>
        <w:tblLayout w:type="fixed"/>
        <w:tblCellMar>
          <w:top w:w="0" w:type="dxa"/>
          <w:left w:w="108" w:type="dxa"/>
          <w:bottom w:w="0" w:type="dxa"/>
          <w:right w:w="108" w:type="dxa"/>
        </w:tblCellMar>
      </w:tblPr>
      <w:tblGrid>
        <w:gridCol w:w="4360"/>
        <w:gridCol w:w="4360"/>
      </w:tblGrid>
      <w:tr>
        <w:tblPrEx>
          <w:tblW w:w="8720" w:type="dxa"/>
          <w:tblInd w:w="0" w:type="dxa"/>
          <w:tblBorders>
            <w:top w:val="outset" w:sz="4" w:space="0" w:color="808080"/>
            <w:left w:val="outset" w:sz="4" w:space="0" w:color="808080"/>
            <w:bottom w:val="outset" w:sz="4" w:space="0" w:color="808080"/>
            <w:right w:val="outset" w:sz="4" w:space="0" w:color="808080"/>
            <w:insideH w:val="single" w:sz="4" w:space="0" w:color="auto"/>
            <w:insideV w:val="single" w:sz="4" w:space="0" w:color="auto"/>
          </w:tblBorders>
          <w:tblLayout w:type="fixed"/>
          <w:tblCellMar>
            <w:top w:w="0" w:type="dxa"/>
            <w:left w:w="108" w:type="dxa"/>
            <w:bottom w:w="0" w:type="dxa"/>
            <w:right w:w="108" w:type="dxa"/>
          </w:tblCellMar>
        </w:tblPrEx>
        <w:trPr>
          <w:trHeight w:val="0"/>
        </w:trPr>
        <w:tc>
          <w:tcPr>
            <w:tcW w:w="436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物质</w:t>
            </w:r>
          </w:p>
        </w:tc>
        <w:tc>
          <w:tcPr>
            <w:tcW w:w="436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比热容</w:t>
            </w:r>
            <w:r>
              <w:rPr>
                <w:i/>
                <w:iCs/>
                <w:color w:val="000000"/>
                <w:position w:val="-3"/>
                <w:sz w:val="21"/>
                <w:szCs w:val="21"/>
              </w:rPr>
              <w:t>c</w:t>
            </w:r>
            <w:r>
              <w:rPr>
                <w:color w:val="000000"/>
                <w:position w:val="-3"/>
                <w:sz w:val="21"/>
                <w:szCs w:val="21"/>
              </w:rPr>
              <w:t>/[J/(kg·℃)]</w:t>
            </w:r>
          </w:p>
        </w:tc>
      </w:tr>
      <w:tr>
        <w:tblPrEx>
          <w:tblW w:w="8720" w:type="dxa"/>
          <w:tblInd w:w="0" w:type="dxa"/>
          <w:tblLayout w:type="fixed"/>
          <w:tblCellMar>
            <w:top w:w="0" w:type="dxa"/>
            <w:left w:w="108" w:type="dxa"/>
            <w:bottom w:w="0" w:type="dxa"/>
            <w:right w:w="108" w:type="dxa"/>
          </w:tblCellMar>
        </w:tblPrEx>
        <w:trPr>
          <w:trHeight w:val="0"/>
        </w:trPr>
        <w:tc>
          <w:tcPr>
            <w:tcW w:w="436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铝</w:t>
            </w:r>
          </w:p>
        </w:tc>
        <w:tc>
          <w:tcPr>
            <w:tcW w:w="436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0.88×10</w:t>
            </w:r>
            <w:r>
              <w:rPr>
                <w:color w:val="000000"/>
                <w:position w:val="4"/>
                <w:sz w:val="19"/>
                <w:szCs w:val="19"/>
                <w:vertAlign w:val="superscript"/>
              </w:rPr>
              <w:t>3</w:t>
            </w:r>
          </w:p>
        </w:tc>
      </w:tr>
      <w:tr>
        <w:tblPrEx>
          <w:tblW w:w="8720" w:type="dxa"/>
          <w:tblInd w:w="0" w:type="dxa"/>
          <w:tblLayout w:type="fixed"/>
          <w:tblCellMar>
            <w:top w:w="0" w:type="dxa"/>
            <w:left w:w="108" w:type="dxa"/>
            <w:bottom w:w="0" w:type="dxa"/>
            <w:right w:w="108" w:type="dxa"/>
          </w:tblCellMar>
        </w:tblPrEx>
        <w:trPr>
          <w:trHeight w:val="0"/>
        </w:trPr>
        <w:tc>
          <w:tcPr>
            <w:tcW w:w="436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铁</w:t>
            </w:r>
          </w:p>
        </w:tc>
        <w:tc>
          <w:tcPr>
            <w:tcW w:w="436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0.46×10</w:t>
            </w:r>
            <w:r>
              <w:rPr>
                <w:color w:val="000000"/>
                <w:position w:val="4"/>
                <w:sz w:val="19"/>
                <w:szCs w:val="19"/>
                <w:vertAlign w:val="superscript"/>
              </w:rPr>
              <w:t>3</w:t>
            </w:r>
          </w:p>
        </w:tc>
      </w:tr>
      <w:tr>
        <w:tblPrEx>
          <w:tblW w:w="8720" w:type="dxa"/>
          <w:tblInd w:w="0" w:type="dxa"/>
          <w:tblLayout w:type="fixed"/>
          <w:tblCellMar>
            <w:top w:w="0" w:type="dxa"/>
            <w:left w:w="108" w:type="dxa"/>
            <w:bottom w:w="0" w:type="dxa"/>
            <w:right w:w="108" w:type="dxa"/>
          </w:tblCellMar>
        </w:tblPrEx>
        <w:trPr>
          <w:trHeight w:val="0"/>
        </w:trPr>
        <w:tc>
          <w:tcPr>
            <w:tcW w:w="436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锌</w:t>
            </w:r>
          </w:p>
        </w:tc>
        <w:tc>
          <w:tcPr>
            <w:tcW w:w="436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0.39×10</w:t>
            </w:r>
            <w:r>
              <w:rPr>
                <w:color w:val="000000"/>
                <w:position w:val="4"/>
                <w:sz w:val="19"/>
                <w:szCs w:val="19"/>
                <w:vertAlign w:val="superscript"/>
              </w:rPr>
              <w:t>3</w:t>
            </w:r>
          </w:p>
        </w:tc>
      </w:tr>
      <w:tr>
        <w:tblPrEx>
          <w:tblW w:w="8720" w:type="dxa"/>
          <w:tblInd w:w="0" w:type="dxa"/>
          <w:tblLayout w:type="fixed"/>
          <w:tblCellMar>
            <w:top w:w="0" w:type="dxa"/>
            <w:left w:w="108" w:type="dxa"/>
            <w:bottom w:w="0" w:type="dxa"/>
            <w:right w:w="108" w:type="dxa"/>
          </w:tblCellMar>
        </w:tblPrEx>
        <w:trPr>
          <w:trHeight w:val="0"/>
        </w:trPr>
        <w:tc>
          <w:tcPr>
            <w:tcW w:w="436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铅</w:t>
            </w:r>
          </w:p>
        </w:tc>
        <w:tc>
          <w:tcPr>
            <w:tcW w:w="436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0.13×10</w:t>
            </w:r>
            <w:r>
              <w:rPr>
                <w:color w:val="000000"/>
                <w:position w:val="4"/>
                <w:sz w:val="19"/>
                <w:szCs w:val="19"/>
                <w:vertAlign w:val="superscript"/>
              </w:rPr>
              <w:t>3</w:t>
            </w:r>
          </w:p>
        </w:tc>
      </w:tr>
    </w:tbl>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A. </w:t>
      </w:r>
      <w:r>
        <w:rPr>
          <w:rFonts w:ascii="宋体" w:eastAsia="宋体" w:hAnsi="宋体" w:cs="宋体"/>
          <w:color w:val="000000"/>
          <w:sz w:val="21"/>
          <w:szCs w:val="21"/>
        </w:rPr>
        <w:t>铝</w:t>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铁</w:t>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锌</w:t>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铅</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6. </w:t>
      </w:r>
      <w:r>
        <w:rPr>
          <w:rFonts w:ascii="宋体" w:eastAsia="宋体" w:hAnsi="宋体" w:cs="宋体"/>
          <w:color w:val="000000"/>
          <w:sz w:val="21"/>
          <w:szCs w:val="21"/>
        </w:rPr>
        <w:t>下列说法正确的是</w:t>
      </w:r>
      <w:r>
        <w:rPr>
          <w:rFonts w:ascii="Times New Roman" w:eastAsia="Times New Roman" w:hAnsi="Times New Roman" w:cs="Times New Roman"/>
          <w:color w:val="000000"/>
          <w:sz w:val="21"/>
          <w:szCs w:val="21"/>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宋体" w:eastAsia="宋体" w:hAnsi="宋体" w:cs="宋体"/>
          <w:color w:val="000000"/>
          <w:sz w:val="21"/>
          <w:szCs w:val="21"/>
        </w:rPr>
        <w:t>一桶水的比热容比一杯水的比热容大</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把</w:t>
      </w:r>
      <w:r>
        <w:rPr>
          <w:rFonts w:ascii="Times New Roman" w:eastAsia="Times New Roman" w:hAnsi="Times New Roman" w:cs="Times New Roman"/>
          <w:color w:val="000000"/>
          <w:sz w:val="21"/>
          <w:szCs w:val="21"/>
        </w:rPr>
        <w:t>-5 ℃</w:t>
      </w:r>
      <w:r>
        <w:rPr>
          <w:rFonts w:ascii="宋体" w:eastAsia="宋体" w:hAnsi="宋体" w:cs="宋体"/>
          <w:color w:val="000000"/>
          <w:sz w:val="21"/>
          <w:szCs w:val="21"/>
        </w:rPr>
        <w:t>的冰块放在</w:t>
      </w:r>
      <w:r>
        <w:rPr>
          <w:rFonts w:ascii="Times New Roman" w:eastAsia="Times New Roman" w:hAnsi="Times New Roman" w:cs="Times New Roman"/>
          <w:color w:val="000000"/>
          <w:sz w:val="21"/>
          <w:szCs w:val="21"/>
        </w:rPr>
        <w:t>0 ℃</w:t>
      </w:r>
      <w:r>
        <w:rPr>
          <w:rFonts w:ascii="宋体" w:eastAsia="宋体" w:hAnsi="宋体" w:cs="宋体"/>
          <w:color w:val="000000"/>
          <w:sz w:val="21"/>
          <w:szCs w:val="21"/>
        </w:rPr>
        <w:t>的冰箱内</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几分钟后</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有部分冰会变成水</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炽热的铁水具有内能</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冰冷的铁块也具有内能</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用锯条锯木板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锯条的温度升高</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是由于锯条从木板吸收了热量</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7. </w:t>
      </w:r>
      <w:r>
        <w:rPr>
          <w:rFonts w:ascii="宋体" w:eastAsia="宋体" w:hAnsi="宋体" w:cs="宋体"/>
          <w:color w:val="000000"/>
          <w:sz w:val="21"/>
          <w:szCs w:val="21"/>
        </w:rPr>
        <w:t>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比较水与煤油吸收热量时温度升高的快慢</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实验中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需要控制某些变量</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以下做法多余的是</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　　</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宋体" w:eastAsia="宋体" w:hAnsi="宋体" w:cs="宋体"/>
          <w:color w:val="000000"/>
          <w:sz w:val="21"/>
          <w:szCs w:val="21"/>
        </w:rPr>
        <w:t>采用完全相同的加热方式</w:t>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采用酒精灯加热时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酒精灯里所加的酒精量相同</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取相同质量的水和煤油</w:t>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盛放水和煤油的容器相同</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8. </w:t>
      </w:r>
      <w:r>
        <w:rPr>
          <w:rFonts w:ascii="宋体" w:eastAsia="宋体" w:hAnsi="宋体" w:cs="宋体"/>
          <w:color w:val="000000"/>
          <w:sz w:val="21"/>
          <w:szCs w:val="21"/>
        </w:rPr>
        <w:t>下列事例没有利用水的比热容大的是</w:t>
      </w: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3162935" cy="548640"/>
            <wp:effectExtent l="0" t="0" r="0" b="0"/>
            <wp:docPr id="354094468" name="0 Imagen" descr="images/5bfbb0dd-b494-456e-938c-61c31f093a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094468" name="0 Imagen" descr="images/5bfbb0dd-b494-456e-938c-61c31f093a15.jpeg"/>
                    <pic:cNvPicPr>
                      <a:picLocks noChangeAspect="1"/>
                    </pic:cNvPicPr>
                  </pic:nvPicPr>
                  <pic:blipFill>
                    <a:blip xmlns:r="http://schemas.openxmlformats.org/officeDocument/2006/relationships" r:embed="rId7" cstate="print"/>
                    <a:stretch>
                      <a:fillRect/>
                    </a:stretch>
                  </pic:blipFill>
                  <pic:spPr>
                    <a:xfrm>
                      <a:off x="0" y="0"/>
                      <a:ext cx="3162993" cy="54864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宋体" w:eastAsia="宋体" w:hAnsi="宋体" w:cs="宋体"/>
          <w:color w:val="000000"/>
          <w:sz w:val="21"/>
          <w:szCs w:val="21"/>
        </w:rPr>
        <w:t>热水袋用水来取暖</w:t>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夏天中午洒水车洒水降温</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初春夜晚要向稻田中灌水</w:t>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城市建造人工湖来调节气温</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9. </w:t>
      </w:r>
      <w:r>
        <w:rPr>
          <w:rFonts w:ascii="宋体" w:eastAsia="宋体" w:hAnsi="宋体" w:cs="宋体"/>
          <w:color w:val="000000"/>
          <w:sz w:val="21"/>
          <w:szCs w:val="21"/>
        </w:rPr>
        <w:t>用两个相同的电热水器给质量同为</w:t>
      </w:r>
      <w:r>
        <w:rPr>
          <w:rFonts w:ascii="Times New Roman" w:eastAsia="Times New Roman" w:hAnsi="Times New Roman" w:cs="Times New Roman"/>
          <w:color w:val="000000"/>
          <w:sz w:val="21"/>
          <w:szCs w:val="21"/>
        </w:rPr>
        <w:t>2 kg</w:t>
      </w:r>
      <w:r>
        <w:rPr>
          <w:rFonts w:ascii="宋体" w:eastAsia="宋体" w:hAnsi="宋体" w:cs="宋体"/>
          <w:color w:val="000000"/>
          <w:sz w:val="21"/>
          <w:szCs w:val="21"/>
        </w:rPr>
        <w:t>的物体甲和水加热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它们的温度随加热时间的变化关系如图所示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据此判断甲物质</w:t>
      </w:r>
      <w:r>
        <w:rPr>
          <w:rFonts w:ascii="Times New Roman" w:eastAsia="Times New Roman" w:hAnsi="Times New Roman" w:cs="Times New Roman"/>
          <w:color w:val="000000"/>
          <w:sz w:val="21"/>
          <w:szCs w:val="21"/>
        </w:rPr>
        <w:t>10 min</w:t>
      </w:r>
      <w:r>
        <w:rPr>
          <w:rFonts w:ascii="宋体" w:eastAsia="宋体" w:hAnsi="宋体" w:cs="宋体"/>
          <w:color w:val="000000"/>
          <w:sz w:val="21"/>
          <w:szCs w:val="21"/>
        </w:rPr>
        <w:t>吸收的热量为</w:t>
      </w: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1017905" cy="795020"/>
            <wp:effectExtent l="0" t="0" r="0" b="0"/>
            <wp:docPr id="265337741" name="0 Imagen" descr="images/84a2f911-eb7f-442c-a5ef-32f633a6801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337741" name="0 Imagen" descr="images/84a2f911-eb7f-442c-a5ef-32f633a6801c.jpeg"/>
                    <pic:cNvPicPr>
                      <a:picLocks noChangeAspect="1"/>
                    </pic:cNvPicPr>
                  </pic:nvPicPr>
                  <pic:blipFill>
                    <a:blip xmlns:r="http://schemas.openxmlformats.org/officeDocument/2006/relationships" r:embed="rId8" cstate="print"/>
                    <a:stretch>
                      <a:fillRect/>
                    </a:stretch>
                  </pic:blipFill>
                  <pic:spPr>
                    <a:xfrm>
                      <a:off x="0" y="0"/>
                      <a:ext cx="1018032" cy="795528"/>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A. </w:t>
      </w:r>
      <w:r>
        <w:rPr>
          <w:rFonts w:ascii="Times New Roman" w:eastAsia="Times New Roman" w:hAnsi="Times New Roman" w:cs="Times New Roman"/>
          <w:color w:val="000000"/>
          <w:sz w:val="21"/>
          <w:szCs w:val="21"/>
        </w:rPr>
        <w:t>0.84×10</w:t>
      </w:r>
      <w:r>
        <w:rPr>
          <w:rFonts w:ascii="Times New Roman" w:eastAsia="Times New Roman" w:hAnsi="Times New Roman" w:cs="Times New Roman"/>
          <w:color w:val="000000"/>
          <w:position w:val="4"/>
          <w:sz w:val="19"/>
          <w:szCs w:val="19"/>
          <w:vertAlign w:val="superscript"/>
        </w:rPr>
        <w:t>5</w:t>
      </w:r>
      <w:r>
        <w:rPr>
          <w:rFonts w:ascii="Times New Roman" w:eastAsia="Times New Roman" w:hAnsi="Times New Roman" w:cs="Times New Roman"/>
          <w:color w:val="000000"/>
          <w:sz w:val="21"/>
          <w:szCs w:val="21"/>
        </w:rPr>
        <w:t> J</w:t>
      </w:r>
      <w:r>
        <w:rPr>
          <w:color w:val="000000"/>
          <w:sz w:val="24"/>
          <w:szCs w:val="24"/>
        </w:rPr>
        <w:t>             </w:t>
      </w:r>
      <w:r>
        <w:rPr>
          <w:rFonts w:ascii="Times New Roman" w:hAnsi="Times New Roman" w:cs="Times New Roman"/>
        </w:rPr>
        <w:t xml:space="preserve">B. </w:t>
      </w:r>
      <w:r>
        <w:rPr>
          <w:rFonts w:ascii="Times New Roman" w:eastAsia="Times New Roman" w:hAnsi="Times New Roman" w:cs="Times New Roman"/>
          <w:color w:val="000000"/>
          <w:sz w:val="21"/>
          <w:szCs w:val="21"/>
        </w:rPr>
        <w:t>1.2×10</w:t>
      </w:r>
      <w:r>
        <w:rPr>
          <w:rFonts w:ascii="Times New Roman" w:eastAsia="Times New Roman" w:hAnsi="Times New Roman" w:cs="Times New Roman"/>
          <w:color w:val="000000"/>
          <w:position w:val="4"/>
          <w:sz w:val="19"/>
          <w:szCs w:val="19"/>
          <w:vertAlign w:val="superscript"/>
        </w:rPr>
        <w:t>5</w:t>
      </w:r>
      <w:r>
        <w:rPr>
          <w:rFonts w:ascii="Times New Roman" w:eastAsia="Times New Roman" w:hAnsi="Times New Roman" w:cs="Times New Roman"/>
          <w:color w:val="000000"/>
          <w:sz w:val="21"/>
          <w:szCs w:val="21"/>
        </w:rPr>
        <w:t> J</w:t>
      </w:r>
      <w:r>
        <w:rPr>
          <w:color w:val="000000"/>
          <w:sz w:val="24"/>
          <w:szCs w:val="24"/>
        </w:rPr>
        <w:t>             </w:t>
      </w:r>
      <w:r>
        <w:rPr>
          <w:rFonts w:ascii="Times New Roman" w:hAnsi="Times New Roman" w:cs="Times New Roman"/>
        </w:rPr>
        <w:t xml:space="preserve">C. </w:t>
      </w:r>
      <w:r>
        <w:rPr>
          <w:rFonts w:ascii="Times New Roman" w:eastAsia="Times New Roman" w:hAnsi="Times New Roman" w:cs="Times New Roman"/>
          <w:color w:val="000000"/>
          <w:sz w:val="21"/>
          <w:szCs w:val="21"/>
        </w:rPr>
        <w:t>2.52×10</w:t>
      </w:r>
      <w:r>
        <w:rPr>
          <w:rFonts w:ascii="Times New Roman" w:eastAsia="Times New Roman" w:hAnsi="Times New Roman" w:cs="Times New Roman"/>
          <w:color w:val="000000"/>
          <w:position w:val="4"/>
          <w:sz w:val="19"/>
          <w:szCs w:val="19"/>
          <w:vertAlign w:val="superscript"/>
        </w:rPr>
        <w:t>5</w:t>
      </w:r>
      <w:r>
        <w:rPr>
          <w:rFonts w:ascii="Times New Roman" w:eastAsia="Times New Roman" w:hAnsi="Times New Roman" w:cs="Times New Roman"/>
          <w:color w:val="000000"/>
          <w:sz w:val="21"/>
          <w:szCs w:val="21"/>
        </w:rPr>
        <w:t> J</w:t>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都不是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不能计算</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10. </w:t>
      </w:r>
      <w:r>
        <w:rPr>
          <w:rFonts w:ascii="宋体" w:eastAsia="宋体" w:hAnsi="宋体" w:cs="宋体"/>
          <w:color w:val="000000"/>
          <w:sz w:val="21"/>
          <w:szCs w:val="21"/>
        </w:rPr>
        <w:t>有三种液体分别用相同的热得快加热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如图是加热时液体温度随时间变化的图象</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下列分析不正确的是</w:t>
      </w: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1042035" cy="612140"/>
            <wp:effectExtent l="0" t="0" r="0" b="0"/>
            <wp:docPr id="362843088" name="0 Imagen" descr="images/e089c953-57d8-4e3f-9104-7e92ebe8e9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843088" name="0 Imagen" descr="images/e089c953-57d8-4e3f-9104-7e92ebe8e942.jpeg"/>
                    <pic:cNvPicPr>
                      <a:picLocks noChangeAspect="1"/>
                    </pic:cNvPicPr>
                  </pic:nvPicPr>
                  <pic:blipFill>
                    <a:blip xmlns:r="http://schemas.openxmlformats.org/officeDocument/2006/relationships" r:embed="rId9" cstate="print"/>
                    <a:stretch>
                      <a:fillRect/>
                    </a:stretch>
                  </pic:blipFill>
                  <pic:spPr>
                    <a:xfrm>
                      <a:off x="0" y="0"/>
                      <a:ext cx="1042416" cy="612648"/>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宋体" w:eastAsia="宋体" w:hAnsi="宋体" w:cs="宋体"/>
          <w:color w:val="000000"/>
          <w:sz w:val="21"/>
          <w:szCs w:val="21"/>
        </w:rPr>
        <w:t>如果</w:t>
      </w:r>
      <w:r>
        <w:rPr>
          <w:rFonts w:ascii="Times New Roman" w:eastAsia="Times New Roman" w:hAnsi="Times New Roman" w:cs="Times New Roman"/>
          <w:i/>
          <w:iCs/>
          <w:color w:val="000000"/>
          <w:sz w:val="21"/>
          <w:szCs w:val="21"/>
        </w:rPr>
        <w:t>b</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c</w:t>
      </w:r>
      <w:r>
        <w:rPr>
          <w:rFonts w:ascii="宋体" w:eastAsia="宋体" w:hAnsi="宋体" w:cs="宋体"/>
          <w:color w:val="000000"/>
          <w:sz w:val="21"/>
          <w:szCs w:val="21"/>
        </w:rPr>
        <w:t>质量相同</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b</w:t>
      </w:r>
      <w:r>
        <w:rPr>
          <w:rFonts w:ascii="宋体" w:eastAsia="宋体" w:hAnsi="宋体" w:cs="宋体"/>
          <w:color w:val="000000"/>
          <w:sz w:val="21"/>
          <w:szCs w:val="21"/>
        </w:rPr>
        <w:t>的比热容小于</w:t>
      </w:r>
      <w:r>
        <w:rPr>
          <w:rFonts w:ascii="Times New Roman" w:eastAsia="Times New Roman" w:hAnsi="Times New Roman" w:cs="Times New Roman"/>
          <w:i/>
          <w:iCs/>
          <w:color w:val="000000"/>
          <w:sz w:val="21"/>
          <w:szCs w:val="21"/>
        </w:rPr>
        <w:t>c</w:t>
      </w:r>
      <w:r>
        <w:rPr>
          <w:rFonts w:ascii="宋体" w:eastAsia="宋体" w:hAnsi="宋体" w:cs="宋体"/>
          <w:color w:val="000000"/>
          <w:sz w:val="21"/>
          <w:szCs w:val="21"/>
        </w:rPr>
        <w:t>的比热容</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如果</w:t>
      </w:r>
      <w:r>
        <w:rPr>
          <w:rFonts w:ascii="Times New Roman" w:eastAsia="Times New Roman" w:hAnsi="Times New Roman" w:cs="Times New Roman"/>
          <w:i/>
          <w:iCs/>
          <w:color w:val="000000"/>
          <w:sz w:val="21"/>
          <w:szCs w:val="21"/>
        </w:rPr>
        <w:t>a</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b</w:t>
      </w:r>
      <w:r>
        <w:rPr>
          <w:rFonts w:ascii="宋体" w:eastAsia="宋体" w:hAnsi="宋体" w:cs="宋体"/>
          <w:color w:val="000000"/>
          <w:sz w:val="21"/>
          <w:szCs w:val="21"/>
        </w:rPr>
        <w:t>是同种物质</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a</w:t>
      </w:r>
      <w:r>
        <w:rPr>
          <w:rFonts w:ascii="宋体" w:eastAsia="宋体" w:hAnsi="宋体" w:cs="宋体"/>
          <w:color w:val="000000"/>
          <w:sz w:val="21"/>
          <w:szCs w:val="21"/>
        </w:rPr>
        <w:t>的质量大于</w:t>
      </w:r>
      <w:r>
        <w:rPr>
          <w:rFonts w:ascii="Times New Roman" w:eastAsia="Times New Roman" w:hAnsi="Times New Roman" w:cs="Times New Roman"/>
          <w:i/>
          <w:iCs/>
          <w:color w:val="000000"/>
          <w:sz w:val="21"/>
          <w:szCs w:val="21"/>
        </w:rPr>
        <w:t>b</w:t>
      </w:r>
      <w:r>
        <w:rPr>
          <w:rFonts w:ascii="宋体" w:eastAsia="宋体" w:hAnsi="宋体" w:cs="宋体"/>
          <w:color w:val="000000"/>
          <w:sz w:val="21"/>
          <w:szCs w:val="21"/>
        </w:rPr>
        <w:t>的质量</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如果</w:t>
      </w:r>
      <w:r>
        <w:rPr>
          <w:rFonts w:ascii="Times New Roman" w:eastAsia="Times New Roman" w:hAnsi="Times New Roman" w:cs="Times New Roman"/>
          <w:i/>
          <w:iCs/>
          <w:color w:val="000000"/>
          <w:sz w:val="21"/>
          <w:szCs w:val="21"/>
        </w:rPr>
        <w:t>b</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c</w:t>
      </w:r>
      <w:r>
        <w:rPr>
          <w:rFonts w:ascii="宋体" w:eastAsia="宋体" w:hAnsi="宋体" w:cs="宋体"/>
          <w:color w:val="000000"/>
          <w:sz w:val="21"/>
          <w:szCs w:val="21"/>
        </w:rPr>
        <w:t>是不同种液体</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b</w:t>
      </w:r>
      <w:r>
        <w:rPr>
          <w:rFonts w:ascii="宋体" w:eastAsia="宋体" w:hAnsi="宋体" w:cs="宋体"/>
          <w:color w:val="000000"/>
          <w:sz w:val="21"/>
          <w:szCs w:val="21"/>
        </w:rPr>
        <w:t>的沸点高于</w:t>
      </w:r>
      <w:r>
        <w:rPr>
          <w:rFonts w:ascii="Times New Roman" w:eastAsia="Times New Roman" w:hAnsi="Times New Roman" w:cs="Times New Roman"/>
          <w:i/>
          <w:iCs/>
          <w:color w:val="000000"/>
          <w:sz w:val="21"/>
          <w:szCs w:val="21"/>
        </w:rPr>
        <w:t>c</w:t>
      </w:r>
      <w:r>
        <w:rPr>
          <w:rFonts w:ascii="宋体" w:eastAsia="宋体" w:hAnsi="宋体" w:cs="宋体"/>
          <w:color w:val="000000"/>
          <w:sz w:val="21"/>
          <w:szCs w:val="21"/>
        </w:rPr>
        <w:t>的沸点</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如果</w:t>
      </w:r>
      <w:r>
        <w:rPr>
          <w:rFonts w:ascii="Times New Roman" w:eastAsia="Times New Roman" w:hAnsi="Times New Roman" w:cs="Times New Roman"/>
          <w:i/>
          <w:iCs/>
          <w:color w:val="000000"/>
          <w:sz w:val="21"/>
          <w:szCs w:val="21"/>
        </w:rPr>
        <w:t>a</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b</w:t>
      </w:r>
      <w:r>
        <w:rPr>
          <w:rFonts w:ascii="宋体" w:eastAsia="宋体" w:hAnsi="宋体" w:cs="宋体"/>
          <w:color w:val="000000"/>
          <w:sz w:val="21"/>
          <w:szCs w:val="21"/>
        </w:rPr>
        <w:t>是不同种物质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它们的沸点相同</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11. </w:t>
      </w:r>
      <w:r>
        <w:rPr>
          <w:rFonts w:ascii="宋体" w:eastAsia="宋体" w:hAnsi="宋体" w:cs="宋体"/>
          <w:color w:val="000000"/>
          <w:sz w:val="21"/>
          <w:szCs w:val="21"/>
        </w:rPr>
        <w:t>甲</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乙两种物质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它们的质量之比是</w:t>
      </w:r>
      <w:r>
        <w:rPr>
          <w:rFonts w:ascii="Times New Roman" w:eastAsia="Times New Roman" w:hAnsi="Times New Roman" w:cs="Times New Roman"/>
          <w:color w:val="000000"/>
          <w:sz w:val="21"/>
          <w:szCs w:val="21"/>
        </w:rPr>
        <w:t>2∶5,</w:t>
      </w:r>
      <w:r>
        <w:rPr>
          <w:rFonts w:ascii="宋体" w:eastAsia="宋体" w:hAnsi="宋体" w:cs="宋体"/>
          <w:color w:val="000000"/>
          <w:sz w:val="21"/>
          <w:szCs w:val="21"/>
        </w:rPr>
        <w:t>比热容之比是</w:t>
      </w:r>
      <w:r>
        <w:rPr>
          <w:rFonts w:ascii="Times New Roman" w:eastAsia="Times New Roman" w:hAnsi="Times New Roman" w:cs="Times New Roman"/>
          <w:color w:val="000000"/>
          <w:sz w:val="21"/>
          <w:szCs w:val="21"/>
        </w:rPr>
        <w:t>3∶2,</w:t>
      </w:r>
      <w:r>
        <w:rPr>
          <w:rFonts w:ascii="宋体" w:eastAsia="宋体" w:hAnsi="宋体" w:cs="宋体"/>
          <w:color w:val="000000"/>
          <w:sz w:val="21"/>
          <w:szCs w:val="21"/>
        </w:rPr>
        <w:t>升高相同的温度</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则吸收的热量之比是</w:t>
      </w:r>
      <w:r>
        <w:rPr>
          <w:rFonts w:ascii="Times New Roman" w:eastAsia="Times New Roman" w:hAnsi="Times New Roman" w:cs="Times New Roman"/>
          <w:color w:val="000000"/>
          <w:sz w:val="21"/>
          <w:szCs w:val="21"/>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A. </w:t>
      </w:r>
      <w:r>
        <w:rPr>
          <w:rFonts w:ascii="Times New Roman" w:eastAsia="Times New Roman" w:hAnsi="Times New Roman" w:cs="Times New Roman"/>
          <w:color w:val="000000"/>
          <w:sz w:val="21"/>
          <w:szCs w:val="21"/>
        </w:rPr>
        <w:t>5∶3</w:t>
      </w:r>
      <w:r>
        <w:rPr>
          <w:color w:val="000000"/>
          <w:sz w:val="24"/>
          <w:szCs w:val="24"/>
        </w:rPr>
        <w:t>             </w:t>
      </w:r>
      <w:r>
        <w:rPr>
          <w:rFonts w:ascii="Times New Roman" w:hAnsi="Times New Roman" w:cs="Times New Roman"/>
        </w:rPr>
        <w:t xml:space="preserve">B. </w:t>
      </w:r>
      <w:r>
        <w:rPr>
          <w:rFonts w:ascii="Times New Roman" w:eastAsia="Times New Roman" w:hAnsi="Times New Roman" w:cs="Times New Roman"/>
          <w:color w:val="000000"/>
          <w:sz w:val="21"/>
          <w:szCs w:val="21"/>
        </w:rPr>
        <w:t>3∶5</w:t>
      </w:r>
      <w:r>
        <w:rPr>
          <w:color w:val="000000"/>
          <w:sz w:val="24"/>
          <w:szCs w:val="24"/>
        </w:rPr>
        <w:t>             </w:t>
      </w:r>
      <w:r>
        <w:rPr>
          <w:rFonts w:ascii="Times New Roman" w:hAnsi="Times New Roman" w:cs="Times New Roman"/>
        </w:rPr>
        <w:t xml:space="preserve">C. </w:t>
      </w:r>
      <w:r>
        <w:rPr>
          <w:rFonts w:ascii="Times New Roman" w:eastAsia="Times New Roman" w:hAnsi="Times New Roman" w:cs="Times New Roman"/>
          <w:color w:val="000000"/>
          <w:sz w:val="21"/>
          <w:szCs w:val="21"/>
        </w:rPr>
        <w:t>15∶4</w:t>
      </w:r>
      <w:r>
        <w:rPr>
          <w:color w:val="000000"/>
          <w:sz w:val="24"/>
          <w:szCs w:val="24"/>
        </w:rPr>
        <w:t>             </w:t>
      </w:r>
      <w:r>
        <w:rPr>
          <w:rFonts w:ascii="Times New Roman" w:hAnsi="Times New Roman" w:cs="Times New Roman"/>
        </w:rPr>
        <w:t xml:space="preserve">D. </w:t>
      </w:r>
      <w:r>
        <w:rPr>
          <w:rFonts w:ascii="Times New Roman" w:eastAsia="Times New Roman" w:hAnsi="Times New Roman" w:cs="Times New Roman"/>
          <w:color w:val="000000"/>
          <w:sz w:val="21"/>
          <w:szCs w:val="21"/>
        </w:rPr>
        <w:t>4∶15</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12. </w:t>
      </w:r>
      <w:r>
        <w:rPr>
          <w:rFonts w:ascii="宋体" w:eastAsia="宋体" w:hAnsi="宋体" w:cs="宋体"/>
          <w:color w:val="000000"/>
          <w:sz w:val="21"/>
          <w:szCs w:val="21"/>
        </w:rPr>
        <w:t>质量相等</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初温相同的水和煤油</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分别用两个相同的电力加热器加热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不计热损失</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加热过程中温度变化如图所示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则下列判断正确的是</w:t>
      </w:r>
      <w:r>
        <w:rPr>
          <w:rFonts w:ascii="Times New Roman" w:eastAsia="Times New Roman" w:hAnsi="Times New Roman" w:cs="Times New Roman"/>
          <w:color w:val="000000"/>
          <w:sz w:val="21"/>
          <w:szCs w:val="21"/>
        </w:rPr>
        <w:t> (</w:t>
      </w:r>
      <w:r>
        <w:rPr>
          <w:rFonts w:ascii="Times New Roman" w:eastAsia="Times New Roman" w:hAnsi="Times New Roman" w:cs="Times New Roman"/>
          <w:i/>
          <w:iCs/>
          <w:color w:val="000000"/>
          <w:sz w:val="21"/>
          <w:szCs w:val="21"/>
        </w:rPr>
        <w:t>　　</w:t>
      </w: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926465" cy="947420"/>
            <wp:effectExtent l="0" t="0" r="0" b="0"/>
            <wp:docPr id="387733607" name="0 Imagen" descr="images/591cef4f-6552-4d42-af0d-e792a909b3f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733607" name="0 Imagen" descr="images/591cef4f-6552-4d42-af0d-e792a909b3f6.jpeg"/>
                    <pic:cNvPicPr>
                      <a:picLocks noChangeAspect="1"/>
                    </pic:cNvPicPr>
                  </pic:nvPicPr>
                  <pic:blipFill>
                    <a:blip xmlns:r="http://schemas.openxmlformats.org/officeDocument/2006/relationships" r:embed="rId10" cstate="print"/>
                    <a:stretch>
                      <a:fillRect/>
                    </a:stretch>
                  </pic:blipFill>
                  <pic:spPr>
                    <a:xfrm>
                      <a:off x="0" y="0"/>
                      <a:ext cx="926592" cy="947928"/>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宋体" w:eastAsia="宋体" w:hAnsi="宋体" w:cs="宋体"/>
          <w:color w:val="000000"/>
          <w:sz w:val="21"/>
          <w:szCs w:val="21"/>
        </w:rPr>
        <w:t>甲的比热容大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是水</w:t>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甲的比热容大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是煤油</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乙的比热容大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是水</w:t>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乙的比热容大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是煤油</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13. </w:t>
      </w:r>
      <w:r>
        <w:rPr>
          <w:rFonts w:ascii="宋体" w:eastAsia="宋体" w:hAnsi="宋体" w:cs="宋体"/>
          <w:color w:val="000000"/>
          <w:sz w:val="21"/>
          <w:szCs w:val="21"/>
        </w:rPr>
        <w:t>用两个相同的电热器分别给质量相同的水和某种液体加热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每隔</w:t>
      </w:r>
      <w:r>
        <w:rPr>
          <w:rFonts w:ascii="Times New Roman" w:eastAsia="Times New Roman" w:hAnsi="Times New Roman" w:cs="Times New Roman"/>
          <w:color w:val="000000"/>
          <w:sz w:val="21"/>
          <w:szCs w:val="21"/>
        </w:rPr>
        <w:t>1 min</w:t>
      </w:r>
      <w:r>
        <w:rPr>
          <w:rFonts w:ascii="宋体" w:eastAsia="宋体" w:hAnsi="宋体" w:cs="宋体"/>
          <w:color w:val="000000"/>
          <w:sz w:val="21"/>
          <w:szCs w:val="21"/>
        </w:rPr>
        <w:t>记录一次数据</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如右表所示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则该液体的比热容为</w:t>
      </w: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2483485" cy="1060450"/>
            <wp:effectExtent l="0" t="0" r="12065" b="6350"/>
            <wp:docPr id="327229795" name="0 Imagen" descr="images/5486a63a-582a-4961-a618-4c6487bd91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229795" name="0 Imagen" descr="images/5486a63a-582a-4961-a618-4c6487bd91f6.png"/>
                    <pic:cNvPicPr>
                      <a:picLocks noChangeAspect="1"/>
                    </pic:cNvPicPr>
                  </pic:nvPicPr>
                  <pic:blipFill>
                    <a:blip xmlns:r="http://schemas.openxmlformats.org/officeDocument/2006/relationships" r:embed="rId11" cstate="print"/>
                    <a:stretch>
                      <a:fillRect/>
                    </a:stretch>
                  </pic:blipFill>
                  <pic:spPr>
                    <a:xfrm>
                      <a:off x="0" y="0"/>
                      <a:ext cx="2483485" cy="106045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Times New Roman" w:eastAsia="Times New Roman" w:hAnsi="Times New Roman" w:cs="Times New Roman"/>
          <w:color w:val="000000"/>
          <w:sz w:val="21"/>
          <w:szCs w:val="21"/>
        </w:rPr>
        <w:t>0.9×10</w:t>
      </w:r>
      <w:r>
        <w:rPr>
          <w:rFonts w:ascii="Times New Roman" w:eastAsia="Times New Roman" w:hAnsi="Times New Roman" w:cs="Times New Roman"/>
          <w:color w:val="000000"/>
          <w:position w:val="4"/>
          <w:sz w:val="19"/>
          <w:szCs w:val="19"/>
          <w:vertAlign w:val="superscript"/>
        </w:rPr>
        <w:t>3</w:t>
      </w:r>
      <w:r>
        <w:rPr>
          <w:rFonts w:ascii="Times New Roman" w:eastAsia="Times New Roman" w:hAnsi="Times New Roman" w:cs="Times New Roman"/>
          <w:color w:val="000000"/>
          <w:sz w:val="21"/>
          <w:szCs w:val="21"/>
        </w:rPr>
        <w:t> J/(kg·℃)</w:t>
      </w:r>
      <w:r>
        <w:rPr>
          <w:color w:val="000000"/>
          <w:sz w:val="24"/>
          <w:szCs w:val="24"/>
        </w:rPr>
        <w:t>             </w:t>
      </w:r>
      <w:r>
        <w:rPr>
          <w:rFonts w:ascii="Times New Roman" w:hAnsi="Times New Roman" w:cs="Times New Roman"/>
        </w:rPr>
        <w:t xml:space="preserve">B. </w:t>
      </w:r>
      <w:r>
        <w:rPr>
          <w:rFonts w:ascii="Times New Roman" w:eastAsia="Times New Roman" w:hAnsi="Times New Roman" w:cs="Times New Roman"/>
          <w:color w:val="000000"/>
          <w:sz w:val="21"/>
          <w:szCs w:val="21"/>
        </w:rPr>
        <w:t>1.8×10</w:t>
      </w:r>
      <w:r>
        <w:rPr>
          <w:rFonts w:ascii="Times New Roman" w:eastAsia="Times New Roman" w:hAnsi="Times New Roman" w:cs="Times New Roman"/>
          <w:color w:val="000000"/>
          <w:position w:val="4"/>
          <w:sz w:val="19"/>
          <w:szCs w:val="19"/>
          <w:vertAlign w:val="superscript"/>
        </w:rPr>
        <w:t>3</w:t>
      </w:r>
      <w:r>
        <w:rPr>
          <w:rFonts w:ascii="Times New Roman" w:eastAsia="Times New Roman" w:hAnsi="Times New Roman" w:cs="Times New Roman"/>
          <w:color w:val="000000"/>
          <w:sz w:val="21"/>
          <w:szCs w:val="21"/>
        </w:rPr>
        <w:t> J/(kg·℃)</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Times New Roman" w:eastAsia="Times New Roman" w:hAnsi="Times New Roman" w:cs="Times New Roman"/>
          <w:color w:val="000000"/>
          <w:sz w:val="21"/>
          <w:szCs w:val="21"/>
        </w:rPr>
        <w:t>3.6×10</w:t>
      </w:r>
      <w:r>
        <w:rPr>
          <w:rFonts w:ascii="Times New Roman" w:eastAsia="Times New Roman" w:hAnsi="Times New Roman" w:cs="Times New Roman"/>
          <w:color w:val="000000"/>
          <w:position w:val="4"/>
          <w:sz w:val="19"/>
          <w:szCs w:val="19"/>
          <w:vertAlign w:val="superscript"/>
        </w:rPr>
        <w:t>3</w:t>
      </w:r>
      <w:r>
        <w:rPr>
          <w:rFonts w:ascii="Times New Roman" w:eastAsia="Times New Roman" w:hAnsi="Times New Roman" w:cs="Times New Roman"/>
          <w:color w:val="000000"/>
          <w:sz w:val="21"/>
          <w:szCs w:val="21"/>
        </w:rPr>
        <w:t> J/(kg·℃)</w:t>
      </w:r>
      <w:r>
        <w:rPr>
          <w:color w:val="000000"/>
          <w:sz w:val="24"/>
          <w:szCs w:val="24"/>
        </w:rPr>
        <w:t>             </w:t>
      </w:r>
      <w:r>
        <w:rPr>
          <w:rFonts w:ascii="Times New Roman" w:hAnsi="Times New Roman" w:cs="Times New Roman"/>
        </w:rPr>
        <w:t xml:space="preserve">D. </w:t>
      </w:r>
      <w:r>
        <w:rPr>
          <w:rFonts w:ascii="Times New Roman" w:eastAsia="Times New Roman" w:hAnsi="Times New Roman" w:cs="Times New Roman"/>
          <w:color w:val="000000"/>
          <w:sz w:val="21"/>
          <w:szCs w:val="21"/>
        </w:rPr>
        <w:t>1.2×10</w:t>
      </w:r>
      <w:r>
        <w:rPr>
          <w:rFonts w:ascii="Times New Roman" w:eastAsia="Times New Roman" w:hAnsi="Times New Roman" w:cs="Times New Roman"/>
          <w:color w:val="000000"/>
          <w:position w:val="4"/>
          <w:sz w:val="19"/>
          <w:szCs w:val="19"/>
          <w:vertAlign w:val="superscript"/>
        </w:rPr>
        <w:t>3</w:t>
      </w:r>
      <w:r>
        <w:rPr>
          <w:rFonts w:ascii="Times New Roman" w:eastAsia="Times New Roman" w:hAnsi="Times New Roman" w:cs="Times New Roman"/>
          <w:color w:val="000000"/>
          <w:sz w:val="21"/>
          <w:szCs w:val="21"/>
        </w:rPr>
        <w:t> J/(kg·℃)</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14. </w:t>
      </w:r>
      <w:r>
        <w:rPr>
          <w:rFonts w:ascii="宋体" w:eastAsia="宋体" w:hAnsi="宋体" w:cs="宋体"/>
          <w:color w:val="000000"/>
          <w:sz w:val="21"/>
          <w:szCs w:val="21"/>
        </w:rPr>
        <w:t>已知铜的比热容小于铝的比热容</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如果两者的质量和初温均相同</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它们从外界吸收相同的热量后</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两者的末温度</w:t>
      </w:r>
      <w:r>
        <w:rPr>
          <w:rFonts w:ascii="Times New Roman" w:eastAsia="Times New Roman" w:hAnsi="Times New Roman" w:cs="Times New Roman"/>
          <w:color w:val="000000"/>
          <w:sz w:val="21"/>
          <w:szCs w:val="21"/>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A. </w:t>
      </w:r>
      <w:r>
        <w:rPr>
          <w:rFonts w:ascii="宋体" w:eastAsia="宋体" w:hAnsi="宋体" w:cs="宋体"/>
          <w:color w:val="000000"/>
          <w:sz w:val="21"/>
          <w:szCs w:val="21"/>
        </w:rPr>
        <w:t>相同</w:t>
      </w:r>
      <w:r>
        <w:rPr>
          <w:color w:val="000000"/>
          <w:sz w:val="24"/>
          <w:szCs w:val="24"/>
        </w:rPr>
        <w:t>             </w:t>
      </w:r>
      <w:r>
        <w:rPr>
          <w:rFonts w:ascii="Times New Roman" w:hAnsi="Times New Roman" w:cs="Times New Roman"/>
        </w:rPr>
        <w:t xml:space="preserve">B. </w:t>
      </w:r>
      <w:r>
        <w:rPr>
          <w:rFonts w:ascii="Times New Roman" w:eastAsia="Times New Roman" w:hAnsi="Times New Roman" w:cs="Times New Roman"/>
          <w:i/>
          <w:iCs/>
          <w:color w:val="000000"/>
          <w:sz w:val="21"/>
          <w:szCs w:val="21"/>
        </w:rPr>
        <w:t>t</w:t>
      </w:r>
      <w:r>
        <w:rPr>
          <w:rFonts w:ascii="宋体" w:eastAsia="宋体" w:hAnsi="宋体" w:cs="宋体"/>
          <w:color w:val="000000"/>
          <w:position w:val="-4"/>
          <w:sz w:val="21"/>
          <w:szCs w:val="21"/>
          <w:vertAlign w:val="subscript"/>
        </w:rPr>
        <w:t>铝</w:t>
      </w:r>
      <w:r>
        <w:rPr>
          <w:rFonts w:ascii="Times New Roman" w:eastAsia="Times New Roman" w:hAnsi="Times New Roman" w:cs="Times New Roman"/>
          <w:color w:val="000000"/>
          <w:sz w:val="21"/>
          <w:szCs w:val="21"/>
        </w:rPr>
        <w:t>&gt;</w:t>
      </w:r>
      <w:r>
        <w:rPr>
          <w:rFonts w:ascii="Times New Roman" w:eastAsia="Times New Roman" w:hAnsi="Times New Roman" w:cs="Times New Roman"/>
          <w:i/>
          <w:iCs/>
          <w:color w:val="000000"/>
          <w:sz w:val="21"/>
          <w:szCs w:val="21"/>
        </w:rPr>
        <w:t>t</w:t>
      </w:r>
      <w:r>
        <w:rPr>
          <w:rFonts w:ascii="宋体" w:eastAsia="宋体" w:hAnsi="宋体" w:cs="宋体"/>
          <w:color w:val="000000"/>
          <w:position w:val="-4"/>
          <w:sz w:val="21"/>
          <w:szCs w:val="21"/>
          <w:vertAlign w:val="subscript"/>
        </w:rPr>
        <w:t>铜</w:t>
      </w:r>
      <w:r>
        <w:rPr>
          <w:color w:val="000000"/>
          <w:sz w:val="24"/>
          <w:szCs w:val="24"/>
        </w:rPr>
        <w:t>             </w:t>
      </w:r>
      <w:r>
        <w:rPr>
          <w:rFonts w:ascii="Times New Roman" w:hAnsi="Times New Roman" w:cs="Times New Roman"/>
        </w:rPr>
        <w:t xml:space="preserve">C. </w:t>
      </w:r>
      <w:r>
        <w:rPr>
          <w:rFonts w:ascii="Times New Roman" w:eastAsia="Times New Roman" w:hAnsi="Times New Roman" w:cs="Times New Roman"/>
          <w:i/>
          <w:iCs/>
          <w:color w:val="000000"/>
          <w:sz w:val="21"/>
          <w:szCs w:val="21"/>
        </w:rPr>
        <w:t>t</w:t>
      </w:r>
      <w:r>
        <w:rPr>
          <w:rFonts w:ascii="宋体" w:eastAsia="宋体" w:hAnsi="宋体" w:cs="宋体"/>
          <w:color w:val="000000"/>
          <w:position w:val="-4"/>
          <w:sz w:val="21"/>
          <w:szCs w:val="21"/>
          <w:vertAlign w:val="subscript"/>
        </w:rPr>
        <w:t>铝</w:t>
      </w:r>
      <w:r>
        <w:rPr>
          <w:rFonts w:ascii="Times New Roman" w:eastAsia="Times New Roman" w:hAnsi="Times New Roman" w:cs="Times New Roman"/>
          <w:color w:val="000000"/>
          <w:sz w:val="21"/>
          <w:szCs w:val="21"/>
        </w:rPr>
        <w:t>&lt;</w:t>
      </w:r>
      <w:r>
        <w:rPr>
          <w:rFonts w:ascii="Times New Roman" w:eastAsia="Times New Roman" w:hAnsi="Times New Roman" w:cs="Times New Roman"/>
          <w:i/>
          <w:iCs/>
          <w:color w:val="000000"/>
          <w:sz w:val="21"/>
          <w:szCs w:val="21"/>
        </w:rPr>
        <w:t>t</w:t>
      </w:r>
      <w:r>
        <w:rPr>
          <w:rFonts w:ascii="宋体" w:eastAsia="宋体" w:hAnsi="宋体" w:cs="宋体"/>
          <w:color w:val="000000"/>
          <w:position w:val="-4"/>
          <w:sz w:val="21"/>
          <w:szCs w:val="21"/>
          <w:vertAlign w:val="subscript"/>
        </w:rPr>
        <w:t>铜</w:t>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无法确定</w:t>
      </w:r>
      <w:r>
        <w:rPr>
          <w:color w:val="000000"/>
          <w:sz w:val="24"/>
          <w:szCs w:val="24"/>
        </w:rPr>
        <w:t>             </w:t>
      </w:r>
    </w:p>
    <w:tbl>
      <w:tblPr>
        <w:tblStyle w:val="TableGridPHPDOC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00"/>
        <w:gridCol w:w="1000"/>
        <w:gridCol w:w="5000"/>
      </w:tblGrid>
      <w:tr>
        <w:tblPrE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评卷人</w:t>
            </w:r>
          </w:p>
        </w:tc>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得分</w:t>
            </w:r>
          </w:p>
        </w:tc>
        <w:tc>
          <w:tcPr>
            <w:tcW w:w="5000" w:type="dxa"/>
            <w:vMerge w:val="restart"/>
            <w:tcBorders>
              <w:top w:val="nil"/>
              <w:left w:val="nil"/>
              <w:bottom w:val="nil"/>
              <w:right w:val="nil"/>
            </w:tcBorders>
            <w:vAlign w:val="center"/>
          </w:tcPr>
          <w:p>
            <w:pPr>
              <w:spacing w:after="0" w:line="240" w:lineRule="auto"/>
            </w:pPr>
            <w:r>
              <w:rPr>
                <w:b/>
                <w:bCs/>
              </w:rPr>
              <w:t>二、填空题</w:t>
            </w:r>
          </w:p>
        </w:tc>
      </w:tr>
      <w:tr>
        <w:tblPrEx>
          <w:tblW w:w="7000" w:type="dxa"/>
          <w:tblInd w:w="0" w:type="dxa"/>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5000" w:type="dxa"/>
            <w:vMerge/>
            <w:tcBorders>
              <w:top w:val="nil"/>
              <w:left w:val="nil"/>
              <w:bottom w:val="nil"/>
              <w:right w:val="nil"/>
            </w:tcBorders>
            <w:vAlign w:val="center"/>
          </w:tcPr>
          <w:p>
            <w:pPr>
              <w:spacing w:after="0" w:line="240" w:lineRule="auto"/>
            </w:pPr>
          </w:p>
        </w:tc>
      </w:tr>
    </w:tbl>
    <w:p>
      <w:r>
        <w:rPr>
          <w:rFonts w:ascii="Times New Roman" w:hAnsi="Times New Roman" w:cs="Times New Roman"/>
        </w:rPr>
        <w:t xml:space="preserve">15. </w:t>
      </w:r>
      <w:r>
        <w:rPr>
          <w:rFonts w:ascii="宋体" w:eastAsia="宋体" w:hAnsi="宋体" w:cs="宋体"/>
          <w:color w:val="000000"/>
          <w:sz w:val="21"/>
          <w:szCs w:val="21"/>
        </w:rPr>
        <w:t>汽车发动机的散热器用水做冷却剂</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是由于水的</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较大的缘故</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发动机温度降低是通过</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方式减少内能的</w:t>
      </w:r>
      <w:r>
        <w:rPr>
          <w:rFonts w:ascii="Times New Roman" w:eastAsia="Times New Roman" w:hAnsi="Times New Roman" w:cs="Times New Roman"/>
          <w:color w:val="000000"/>
          <w:sz w:val="21"/>
          <w:szCs w:val="21"/>
        </w:rPr>
        <w:t>。</w:t>
      </w:r>
    </w:p>
    <w:p>
      <w:r>
        <w:rPr>
          <w:rFonts w:ascii="Times New Roman" w:hAnsi="Times New Roman" w:cs="Times New Roman"/>
        </w:rPr>
        <w:t xml:space="preserve">16. </w:t>
      </w:r>
      <w:r>
        <w:rPr>
          <w:rFonts w:ascii="宋体" w:eastAsia="宋体" w:hAnsi="宋体" w:cs="宋体"/>
          <w:color w:val="000000"/>
          <w:sz w:val="21"/>
          <w:szCs w:val="21"/>
        </w:rPr>
        <w:t>月亮的昼夜温差达到数百摄氏度</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而地球温差不过数十摄氏度</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这除了地球外有大气层像厚厚的保温服一样</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阻止了内能以</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方式减小外</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还因为地球大部分面积都是海洋</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而水的</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能够起到很好的调整气温的作用</w:t>
      </w:r>
      <w:r>
        <w:rPr>
          <w:rFonts w:ascii="Times New Roman" w:eastAsia="Times New Roman" w:hAnsi="Times New Roman" w:cs="Times New Roman"/>
          <w:color w:val="000000"/>
          <w:sz w:val="21"/>
          <w:szCs w:val="21"/>
        </w:rPr>
        <w:t>.</w:t>
      </w:r>
    </w:p>
    <w:p>
      <w:r>
        <w:rPr>
          <w:rFonts w:ascii="Times New Roman" w:hAnsi="Times New Roman" w:cs="Times New Roman"/>
        </w:rPr>
        <w:t xml:space="preserve">17. </w:t>
      </w:r>
      <w:r>
        <w:rPr>
          <w:rFonts w:ascii="宋体" w:eastAsia="宋体" w:hAnsi="宋体" w:cs="宋体"/>
          <w:color w:val="000000"/>
          <w:sz w:val="21"/>
          <w:szCs w:val="21"/>
        </w:rPr>
        <w:t>小红对冰加热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她根据冰熔化成水直到沸腾的过程记录数据</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绘制成如图所示的温度随时间变化的图象</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分析图象发现</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造成</w:t>
      </w:r>
      <w:r>
        <w:rPr>
          <w:rFonts w:ascii="Times New Roman" w:eastAsia="Times New Roman" w:hAnsi="Times New Roman" w:cs="Times New Roman"/>
          <w:i/>
          <w:iCs/>
          <w:color w:val="000000"/>
          <w:sz w:val="21"/>
          <w:szCs w:val="21"/>
        </w:rPr>
        <w:t>AB</w:t>
      </w:r>
      <w:r>
        <w:rPr>
          <w:rFonts w:ascii="宋体" w:eastAsia="宋体" w:hAnsi="宋体" w:cs="宋体"/>
          <w:color w:val="000000"/>
          <w:sz w:val="21"/>
          <w:szCs w:val="21"/>
        </w:rPr>
        <w:t>段和</w:t>
      </w:r>
      <w:r>
        <w:rPr>
          <w:rFonts w:ascii="Times New Roman" w:eastAsia="Times New Roman" w:hAnsi="Times New Roman" w:cs="Times New Roman"/>
          <w:i/>
          <w:iCs/>
          <w:color w:val="000000"/>
          <w:sz w:val="21"/>
          <w:szCs w:val="21"/>
        </w:rPr>
        <w:t>CD</w:t>
      </w:r>
      <w:r>
        <w:rPr>
          <w:rFonts w:ascii="宋体" w:eastAsia="宋体" w:hAnsi="宋体" w:cs="宋体"/>
          <w:color w:val="000000"/>
          <w:sz w:val="21"/>
          <w:szCs w:val="21"/>
        </w:rPr>
        <w:t>段升温快慢不同的原因是</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已知冰的比热容是</w:t>
      </w:r>
      <w:r>
        <w:rPr>
          <w:rFonts w:ascii="Times New Roman" w:eastAsia="Times New Roman" w:hAnsi="Times New Roman" w:cs="Times New Roman"/>
          <w:color w:val="000000"/>
          <w:sz w:val="21"/>
          <w:szCs w:val="21"/>
        </w:rPr>
        <w:t>2.1×10</w:t>
      </w:r>
      <w:r>
        <w:rPr>
          <w:rFonts w:ascii="Times New Roman" w:eastAsia="Times New Roman" w:hAnsi="Times New Roman" w:cs="Times New Roman"/>
          <w:color w:val="000000"/>
          <w:position w:val="4"/>
          <w:sz w:val="19"/>
          <w:szCs w:val="19"/>
          <w:vertAlign w:val="superscript"/>
        </w:rPr>
        <w:t>3</w:t>
      </w:r>
      <w:r>
        <w:rPr>
          <w:rFonts w:ascii="Times New Roman" w:eastAsia="Times New Roman" w:hAnsi="Times New Roman" w:cs="Times New Roman"/>
          <w:color w:val="000000"/>
          <w:sz w:val="21"/>
          <w:szCs w:val="21"/>
        </w:rPr>
        <w:t> J/(kg·℃),</w:t>
      </w:r>
      <w:r>
        <w:rPr>
          <w:rFonts w:ascii="宋体" w:eastAsia="宋体" w:hAnsi="宋体" w:cs="宋体"/>
          <w:color w:val="000000"/>
          <w:sz w:val="21"/>
          <w:szCs w:val="21"/>
        </w:rPr>
        <w:t>在对</w:t>
      </w:r>
      <w:r>
        <w:rPr>
          <w:rFonts w:ascii="Times New Roman" w:eastAsia="Times New Roman" w:hAnsi="Times New Roman" w:cs="Times New Roman"/>
          <w:color w:val="000000"/>
          <w:sz w:val="21"/>
          <w:szCs w:val="21"/>
        </w:rPr>
        <w:t>100 g</w:t>
      </w:r>
      <w:r>
        <w:rPr>
          <w:rFonts w:ascii="宋体" w:eastAsia="宋体" w:hAnsi="宋体" w:cs="宋体"/>
          <w:color w:val="000000"/>
          <w:sz w:val="21"/>
          <w:szCs w:val="21"/>
        </w:rPr>
        <w:t>冰加热的</w:t>
      </w:r>
      <w:r>
        <w:rPr>
          <w:rFonts w:ascii="Times New Roman" w:eastAsia="Times New Roman" w:hAnsi="Times New Roman" w:cs="Times New Roman"/>
          <w:color w:val="000000"/>
          <w:sz w:val="21"/>
          <w:szCs w:val="21"/>
        </w:rPr>
        <w:t>2 min</w:t>
      </w:r>
      <w:r>
        <w:rPr>
          <w:rFonts w:ascii="宋体" w:eastAsia="宋体" w:hAnsi="宋体" w:cs="宋体"/>
          <w:color w:val="000000"/>
          <w:sz w:val="21"/>
          <w:szCs w:val="21"/>
        </w:rPr>
        <w:t>内冰吸热</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J.</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1212850" cy="701040"/>
            <wp:effectExtent l="0" t="0" r="0" b="0"/>
            <wp:docPr id="349457454" name="0 Imagen" descr="images/03f72b56-5b3b-406c-aef9-7d333978bf7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457454" name="0 Imagen" descr="images/03f72b56-5b3b-406c-aef9-7d333978bf7a.jpeg"/>
                    <pic:cNvPicPr>
                      <a:picLocks noChangeAspect="1"/>
                    </pic:cNvPicPr>
                  </pic:nvPicPr>
                  <pic:blipFill>
                    <a:blip xmlns:r="http://schemas.openxmlformats.org/officeDocument/2006/relationships" r:embed="rId12" cstate="print"/>
                    <a:stretch>
                      <a:fillRect/>
                    </a:stretch>
                  </pic:blipFill>
                  <pic:spPr>
                    <a:xfrm>
                      <a:off x="0" y="0"/>
                      <a:ext cx="1213104" cy="701040"/>
                    </a:xfrm>
                    <a:prstGeom prst="rect">
                      <a:avLst/>
                    </a:prstGeom>
                  </pic:spPr>
                </pic:pic>
              </a:graphicData>
            </a:graphic>
          </wp:inline>
        </w:drawing>
      </w:r>
    </w:p>
    <w:p>
      <w:r>
        <w:rPr>
          <w:rFonts w:ascii="Times New Roman" w:hAnsi="Times New Roman" w:cs="Times New Roman"/>
        </w:rPr>
        <w:t xml:space="preserve">18. </w:t>
      </w:r>
      <w:r>
        <w:rPr>
          <w:rFonts w:ascii="宋体" w:eastAsia="宋体" w:hAnsi="宋体" w:cs="宋体"/>
          <w:color w:val="000000"/>
          <w:sz w:val="21"/>
          <w:szCs w:val="21"/>
        </w:rPr>
        <w:t>水稻是喜温植物</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春季育秧时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农民通常在傍晚向秧田灌水</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早晨再将水放出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以防霜冻</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这是因为水的</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较大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当气温降低时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水能放出较多的热量</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如果某秧田中水的温度降低了</w:t>
      </w:r>
      <w:r>
        <w:rPr>
          <w:rFonts w:ascii="Times New Roman" w:eastAsia="Times New Roman" w:hAnsi="Times New Roman" w:cs="Times New Roman"/>
          <w:color w:val="000000"/>
          <w:sz w:val="21"/>
          <w:szCs w:val="21"/>
        </w:rPr>
        <w:t>2 ℃,</w:t>
      </w:r>
      <w:r>
        <w:rPr>
          <w:rFonts w:ascii="宋体" w:eastAsia="宋体" w:hAnsi="宋体" w:cs="宋体"/>
          <w:color w:val="000000"/>
          <w:sz w:val="21"/>
          <w:szCs w:val="21"/>
        </w:rPr>
        <w:t>放出了</w:t>
      </w:r>
      <w:r>
        <w:rPr>
          <w:rFonts w:ascii="Times New Roman" w:eastAsia="Times New Roman" w:hAnsi="Times New Roman" w:cs="Times New Roman"/>
          <w:color w:val="000000"/>
          <w:sz w:val="21"/>
          <w:szCs w:val="21"/>
        </w:rPr>
        <w:t>3.36×10</w:t>
      </w:r>
      <w:r>
        <w:rPr>
          <w:rFonts w:ascii="Times New Roman" w:eastAsia="Times New Roman" w:hAnsi="Times New Roman" w:cs="Times New Roman"/>
          <w:color w:val="000000"/>
          <w:position w:val="4"/>
          <w:sz w:val="19"/>
          <w:szCs w:val="19"/>
          <w:vertAlign w:val="superscript"/>
        </w:rPr>
        <w:t>7</w:t>
      </w:r>
      <w:r>
        <w:rPr>
          <w:rFonts w:ascii="Times New Roman" w:eastAsia="Times New Roman" w:hAnsi="Times New Roman" w:cs="Times New Roman"/>
          <w:color w:val="000000"/>
          <w:sz w:val="21"/>
          <w:szCs w:val="21"/>
        </w:rPr>
        <w:t> J</w:t>
      </w:r>
      <w:r>
        <w:rPr>
          <w:rFonts w:ascii="宋体" w:eastAsia="宋体" w:hAnsi="宋体" w:cs="宋体"/>
          <w:color w:val="000000"/>
          <w:sz w:val="21"/>
          <w:szCs w:val="21"/>
        </w:rPr>
        <w:t>的热量</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则该秧田内的水的质量为</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kg。[</w:t>
      </w:r>
      <w:r>
        <w:rPr>
          <w:rFonts w:ascii="宋体" w:eastAsia="宋体" w:hAnsi="宋体" w:cs="宋体"/>
          <w:color w:val="000000"/>
          <w:sz w:val="21"/>
          <w:szCs w:val="21"/>
        </w:rPr>
        <w:t>已知</w:t>
      </w:r>
      <w:r>
        <w:rPr>
          <w:rFonts w:ascii="Times New Roman" w:eastAsia="Times New Roman" w:hAnsi="Times New Roman" w:cs="Times New Roman"/>
          <w:i/>
          <w:iCs/>
          <w:color w:val="000000"/>
          <w:sz w:val="21"/>
          <w:szCs w:val="21"/>
        </w:rPr>
        <w:t>c</w:t>
      </w:r>
      <w:r>
        <w:rPr>
          <w:rFonts w:ascii="宋体" w:eastAsia="宋体" w:hAnsi="宋体" w:cs="宋体"/>
          <w:color w:val="000000"/>
          <w:position w:val="-4"/>
          <w:sz w:val="21"/>
          <w:szCs w:val="21"/>
          <w:vertAlign w:val="subscript"/>
        </w:rPr>
        <w:t>水</w:t>
      </w:r>
      <w:r>
        <w:rPr>
          <w:rFonts w:ascii="Times New Roman" w:eastAsia="Times New Roman" w:hAnsi="Times New Roman" w:cs="Times New Roman"/>
          <w:color w:val="000000"/>
          <w:sz w:val="21"/>
          <w:szCs w:val="21"/>
        </w:rPr>
        <w:t>=4.2×10</w:t>
      </w:r>
      <w:r>
        <w:rPr>
          <w:rFonts w:ascii="Times New Roman" w:eastAsia="Times New Roman" w:hAnsi="Times New Roman" w:cs="Times New Roman"/>
          <w:color w:val="000000"/>
          <w:position w:val="4"/>
          <w:sz w:val="19"/>
          <w:szCs w:val="19"/>
          <w:vertAlign w:val="superscript"/>
        </w:rPr>
        <w:t>3</w:t>
      </w:r>
      <w:r>
        <w:rPr>
          <w:rFonts w:ascii="Times New Roman" w:eastAsia="Times New Roman" w:hAnsi="Times New Roman" w:cs="Times New Roman"/>
          <w:color w:val="000000"/>
          <w:sz w:val="21"/>
          <w:szCs w:val="21"/>
        </w:rPr>
        <w:t> J/(kg·℃)]</w:t>
      </w:r>
    </w:p>
    <w:p>
      <w:r>
        <w:rPr>
          <w:rFonts w:ascii="Times New Roman" w:hAnsi="Times New Roman" w:cs="Times New Roman"/>
        </w:rPr>
        <w:t xml:space="preserve">19. </w:t>
      </w:r>
      <w:r>
        <w:rPr>
          <w:rFonts w:ascii="宋体" w:eastAsia="宋体" w:hAnsi="宋体" w:cs="宋体"/>
          <w:color w:val="000000"/>
          <w:sz w:val="21"/>
          <w:szCs w:val="21"/>
        </w:rPr>
        <w:t>如图所示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设相同时间内物质吸收的热量相同</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甲</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乙两图中符合冰融化规律的是图</w:t>
      </w:r>
      <w:r>
        <w:rPr>
          <w:rFonts w:ascii="Times New Roman" w:eastAsia="Times New Roman" w:hAnsi="Times New Roman" w:cs="Times New Roman"/>
          <w:i/>
          <w:iCs/>
          <w:color w:val="000000"/>
          <w:sz w:val="21"/>
          <w:szCs w:val="21"/>
          <w:u w:val="single"/>
        </w:rPr>
        <w:t>　　　　</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填</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甲</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或</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乙</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这是因为</w:t>
      </w:r>
      <w:r>
        <w:rPr>
          <w:rFonts w:ascii="Times New Roman" w:eastAsia="Times New Roman" w:hAnsi="Times New Roman" w:cs="Times New Roman"/>
          <w:i/>
          <w:iCs/>
          <w:color w:val="000000"/>
          <w:sz w:val="21"/>
          <w:szCs w:val="21"/>
        </w:rPr>
        <w:t>c</w:t>
      </w:r>
      <w:r>
        <w:rPr>
          <w:rFonts w:ascii="宋体" w:eastAsia="宋体" w:hAnsi="宋体" w:cs="宋体"/>
          <w:color w:val="000000"/>
          <w:position w:val="-4"/>
          <w:sz w:val="21"/>
          <w:szCs w:val="21"/>
          <w:vertAlign w:val="subscript"/>
        </w:rPr>
        <w:t>冰</w:t>
      </w:r>
      <w:r>
        <w:rPr>
          <w:rFonts w:ascii="Times New Roman" w:eastAsia="Times New Roman" w:hAnsi="Times New Roman" w:cs="Times New Roman"/>
          <w:i/>
          <w:iCs/>
          <w:color w:val="000000"/>
          <w:sz w:val="21"/>
          <w:szCs w:val="21"/>
          <w:u w:val="single"/>
        </w:rPr>
        <w:t>　　　　</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填</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&gt;</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&lt;</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或</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c</w:t>
      </w:r>
      <w:r>
        <w:rPr>
          <w:rFonts w:ascii="宋体" w:eastAsia="宋体" w:hAnsi="宋体" w:cs="宋体"/>
          <w:color w:val="000000"/>
          <w:position w:val="-4"/>
          <w:sz w:val="21"/>
          <w:szCs w:val="21"/>
          <w:vertAlign w:val="subscript"/>
        </w:rPr>
        <w:t>水</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所以相同时间内</w:t>
      </w:r>
      <w:r>
        <w:rPr>
          <w:rFonts w:ascii="Times New Roman" w:eastAsia="Times New Roman" w:hAnsi="Times New Roman" w:cs="Times New Roman"/>
          <w:i/>
          <w:iCs/>
          <w:color w:val="000000"/>
          <w:sz w:val="21"/>
          <w:szCs w:val="21"/>
          <w:u w:val="single"/>
        </w:rPr>
        <w:t>　　　　</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填</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冰</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或</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水</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升温更快</w:t>
      </w: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2566035" cy="911225"/>
            <wp:effectExtent l="0" t="0" r="0" b="0"/>
            <wp:docPr id="145435949" name="0 Imagen" descr="images/ae907e6a-4f61-42c3-a93b-51f2914198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35949" name="0 Imagen" descr="images/ae907e6a-4f61-42c3-a93b-51f291419891.jpeg"/>
                    <pic:cNvPicPr>
                      <a:picLocks noChangeAspect="1"/>
                    </pic:cNvPicPr>
                  </pic:nvPicPr>
                  <pic:blipFill>
                    <a:blip xmlns:r="http://schemas.openxmlformats.org/officeDocument/2006/relationships" r:embed="rId13" cstate="print"/>
                    <a:stretch>
                      <a:fillRect/>
                    </a:stretch>
                  </pic:blipFill>
                  <pic:spPr>
                    <a:xfrm>
                      <a:off x="0" y="0"/>
                      <a:ext cx="2566416" cy="911352"/>
                    </a:xfrm>
                    <a:prstGeom prst="rect">
                      <a:avLst/>
                    </a:prstGeom>
                  </pic:spPr>
                </pic:pic>
              </a:graphicData>
            </a:graphic>
          </wp:inline>
        </w:drawing>
      </w:r>
    </w:p>
    <w:p>
      <w:r>
        <w:rPr>
          <w:rFonts w:ascii="Times New Roman" w:hAnsi="Times New Roman" w:cs="Times New Roman"/>
        </w:rPr>
        <w:t xml:space="preserve">20. </w:t>
      </w:r>
      <w:r>
        <w:rPr>
          <w:rFonts w:ascii="宋体" w:eastAsia="宋体" w:hAnsi="宋体" w:cs="宋体"/>
          <w:color w:val="000000"/>
          <w:sz w:val="21"/>
          <w:szCs w:val="21"/>
        </w:rPr>
        <w:t>下表中列出了由实验测得的几种物质的比热容</w:t>
      </w:r>
      <w:r>
        <w:rPr>
          <w:rFonts w:ascii="Times New Roman" w:eastAsia="Times New Roman" w:hAnsi="Times New Roman" w:cs="Times New Roman"/>
          <w:color w:val="000000"/>
          <w:sz w:val="21"/>
          <w:szCs w:val="21"/>
        </w:rPr>
        <w:t>[J/(kg·℃)]</w:t>
      </w:r>
    </w:p>
    <w:tbl>
      <w:tblPr>
        <w:tblStyle w:val="TableGridPHPDOCX"/>
        <w:tblW w:w="8720" w:type="dxa"/>
        <w:tblInd w:w="0" w:type="dxa"/>
        <w:tblBorders>
          <w:top w:val="outset" w:sz="4" w:space="0" w:color="808080"/>
          <w:left w:val="outset" w:sz="4" w:space="0" w:color="808080"/>
          <w:bottom w:val="outset" w:sz="4" w:space="0" w:color="808080"/>
          <w:right w:val="outset" w:sz="4" w:space="0" w:color="808080"/>
          <w:insideH w:val="single" w:sz="4" w:space="0" w:color="auto"/>
          <w:insideV w:val="single" w:sz="4" w:space="0" w:color="auto"/>
        </w:tblBorders>
        <w:tblLayout w:type="fixed"/>
        <w:tblCellMar>
          <w:top w:w="0" w:type="dxa"/>
          <w:left w:w="108" w:type="dxa"/>
          <w:bottom w:w="0" w:type="dxa"/>
          <w:right w:w="108" w:type="dxa"/>
        </w:tblCellMar>
      </w:tblPr>
      <w:tblGrid>
        <w:gridCol w:w="1090"/>
        <w:gridCol w:w="1090"/>
        <w:gridCol w:w="1090"/>
        <w:gridCol w:w="1090"/>
        <w:gridCol w:w="1090"/>
        <w:gridCol w:w="1090"/>
        <w:gridCol w:w="1090"/>
        <w:gridCol w:w="1090"/>
      </w:tblGrid>
      <w:tr>
        <w:tblPrEx>
          <w:tblW w:w="8720" w:type="dxa"/>
          <w:tblInd w:w="0" w:type="dxa"/>
          <w:tblBorders>
            <w:top w:val="outset" w:sz="4" w:space="0" w:color="808080"/>
            <w:left w:val="outset" w:sz="4" w:space="0" w:color="808080"/>
            <w:bottom w:val="outset" w:sz="4" w:space="0" w:color="808080"/>
            <w:right w:val="outset" w:sz="4" w:space="0" w:color="808080"/>
            <w:insideH w:val="single" w:sz="4" w:space="0" w:color="auto"/>
            <w:insideV w:val="single" w:sz="4" w:space="0" w:color="auto"/>
          </w:tblBorders>
          <w:tblLayout w:type="fixed"/>
          <w:tblCellMar>
            <w:top w:w="0" w:type="dxa"/>
            <w:left w:w="108" w:type="dxa"/>
            <w:bottom w:w="0" w:type="dxa"/>
            <w:right w:w="108" w:type="dxa"/>
          </w:tblCellMar>
        </w:tblPrEx>
        <w:trPr>
          <w:trHeight w:val="0"/>
        </w:trPr>
        <w:tc>
          <w:tcPr>
            <w:tcW w:w="109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水</w:t>
            </w:r>
          </w:p>
        </w:tc>
        <w:tc>
          <w:tcPr>
            <w:tcW w:w="109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4.2×10</w:t>
            </w:r>
            <w:r>
              <w:rPr>
                <w:color w:val="000000"/>
                <w:position w:val="4"/>
                <w:sz w:val="19"/>
                <w:szCs w:val="19"/>
                <w:vertAlign w:val="superscript"/>
              </w:rPr>
              <w:t>3</w:t>
            </w:r>
          </w:p>
        </w:tc>
        <w:tc>
          <w:tcPr>
            <w:tcW w:w="109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冰</w:t>
            </w:r>
          </w:p>
        </w:tc>
        <w:tc>
          <w:tcPr>
            <w:tcW w:w="109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2.1×10</w:t>
            </w:r>
            <w:r>
              <w:rPr>
                <w:color w:val="000000"/>
                <w:position w:val="4"/>
                <w:sz w:val="19"/>
                <w:szCs w:val="19"/>
                <w:vertAlign w:val="superscript"/>
              </w:rPr>
              <w:t>3</w:t>
            </w:r>
          </w:p>
        </w:tc>
        <w:tc>
          <w:tcPr>
            <w:tcW w:w="109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铜</w:t>
            </w:r>
          </w:p>
        </w:tc>
        <w:tc>
          <w:tcPr>
            <w:tcW w:w="109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0.39×10</w:t>
            </w:r>
            <w:r>
              <w:rPr>
                <w:color w:val="000000"/>
                <w:position w:val="4"/>
                <w:sz w:val="19"/>
                <w:szCs w:val="19"/>
                <w:vertAlign w:val="superscript"/>
              </w:rPr>
              <w:t>3</w:t>
            </w:r>
          </w:p>
        </w:tc>
        <w:tc>
          <w:tcPr>
            <w:tcW w:w="109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干泥土</w:t>
            </w:r>
          </w:p>
        </w:tc>
        <w:tc>
          <w:tcPr>
            <w:tcW w:w="109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0.84×10</w:t>
            </w:r>
            <w:r>
              <w:rPr>
                <w:color w:val="000000"/>
                <w:position w:val="4"/>
                <w:sz w:val="19"/>
                <w:szCs w:val="19"/>
                <w:vertAlign w:val="superscript"/>
              </w:rPr>
              <w:t>3</w:t>
            </w:r>
          </w:p>
        </w:tc>
      </w:tr>
      <w:tr>
        <w:tblPrEx>
          <w:tblW w:w="8720" w:type="dxa"/>
          <w:tblInd w:w="0" w:type="dxa"/>
          <w:tblLayout w:type="fixed"/>
          <w:tblCellMar>
            <w:top w:w="0" w:type="dxa"/>
            <w:left w:w="108" w:type="dxa"/>
            <w:bottom w:w="0" w:type="dxa"/>
            <w:right w:w="108" w:type="dxa"/>
          </w:tblCellMar>
        </w:tblPrEx>
        <w:trPr>
          <w:trHeight w:val="0"/>
        </w:trPr>
        <w:tc>
          <w:tcPr>
            <w:tcW w:w="109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酒精</w:t>
            </w:r>
          </w:p>
        </w:tc>
        <w:tc>
          <w:tcPr>
            <w:tcW w:w="109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2.4×10</w:t>
            </w:r>
            <w:r>
              <w:rPr>
                <w:color w:val="000000"/>
                <w:position w:val="4"/>
                <w:sz w:val="19"/>
                <w:szCs w:val="19"/>
                <w:vertAlign w:val="superscript"/>
              </w:rPr>
              <w:t>3</w:t>
            </w:r>
          </w:p>
        </w:tc>
        <w:tc>
          <w:tcPr>
            <w:tcW w:w="109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蓖麻油</w:t>
            </w:r>
          </w:p>
        </w:tc>
        <w:tc>
          <w:tcPr>
            <w:tcW w:w="109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1.8×10</w:t>
            </w:r>
            <w:r>
              <w:rPr>
                <w:color w:val="000000"/>
                <w:position w:val="4"/>
                <w:sz w:val="19"/>
                <w:szCs w:val="19"/>
                <w:vertAlign w:val="superscript"/>
              </w:rPr>
              <w:t>3</w:t>
            </w:r>
          </w:p>
        </w:tc>
        <w:tc>
          <w:tcPr>
            <w:tcW w:w="109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水银</w:t>
            </w:r>
          </w:p>
        </w:tc>
        <w:tc>
          <w:tcPr>
            <w:tcW w:w="109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0.14×10</w:t>
            </w:r>
            <w:r>
              <w:rPr>
                <w:color w:val="000000"/>
                <w:position w:val="4"/>
                <w:sz w:val="19"/>
                <w:szCs w:val="19"/>
                <w:vertAlign w:val="superscript"/>
              </w:rPr>
              <w:t>3</w:t>
            </w:r>
          </w:p>
        </w:tc>
        <w:tc>
          <w:tcPr>
            <w:tcW w:w="109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铅</w:t>
            </w:r>
          </w:p>
        </w:tc>
        <w:tc>
          <w:tcPr>
            <w:tcW w:w="109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0.13×10</w:t>
            </w:r>
            <w:r>
              <w:rPr>
                <w:color w:val="000000"/>
                <w:position w:val="4"/>
                <w:sz w:val="19"/>
                <w:szCs w:val="19"/>
                <w:vertAlign w:val="superscript"/>
              </w:rPr>
              <w:t>3</w:t>
            </w:r>
          </w:p>
        </w:tc>
      </w:tr>
      <w:tr>
        <w:tblPrEx>
          <w:tblW w:w="8720" w:type="dxa"/>
          <w:tblInd w:w="0" w:type="dxa"/>
          <w:tblLayout w:type="fixed"/>
          <w:tblCellMar>
            <w:top w:w="0" w:type="dxa"/>
            <w:left w:w="108" w:type="dxa"/>
            <w:bottom w:w="0" w:type="dxa"/>
            <w:right w:w="108" w:type="dxa"/>
          </w:tblCellMar>
        </w:tblPrEx>
        <w:trPr>
          <w:trHeight w:val="0"/>
        </w:trPr>
        <w:tc>
          <w:tcPr>
            <w:tcW w:w="109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煤油</w:t>
            </w:r>
          </w:p>
        </w:tc>
        <w:tc>
          <w:tcPr>
            <w:tcW w:w="109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2.1×10</w:t>
            </w:r>
            <w:r>
              <w:rPr>
                <w:color w:val="000000"/>
                <w:position w:val="4"/>
                <w:sz w:val="19"/>
                <w:szCs w:val="19"/>
                <w:vertAlign w:val="superscript"/>
              </w:rPr>
              <w:t>3</w:t>
            </w:r>
          </w:p>
        </w:tc>
        <w:tc>
          <w:tcPr>
            <w:tcW w:w="109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砂石</w:t>
            </w:r>
          </w:p>
        </w:tc>
        <w:tc>
          <w:tcPr>
            <w:tcW w:w="109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0.92×10</w:t>
            </w:r>
            <w:r>
              <w:rPr>
                <w:color w:val="000000"/>
                <w:position w:val="4"/>
                <w:sz w:val="19"/>
                <w:szCs w:val="19"/>
                <w:vertAlign w:val="superscript"/>
              </w:rPr>
              <w:t>3</w:t>
            </w:r>
          </w:p>
        </w:tc>
        <w:tc>
          <w:tcPr>
            <w:tcW w:w="109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铁</w:t>
            </w:r>
          </w:p>
        </w:tc>
        <w:tc>
          <w:tcPr>
            <w:tcW w:w="109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0.46×10</w:t>
            </w:r>
            <w:r>
              <w:rPr>
                <w:color w:val="000000"/>
                <w:position w:val="4"/>
                <w:sz w:val="19"/>
                <w:szCs w:val="19"/>
                <w:vertAlign w:val="superscript"/>
              </w:rPr>
              <w:t>3</w:t>
            </w:r>
          </w:p>
        </w:tc>
        <w:tc>
          <w:tcPr>
            <w:tcW w:w="109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铝</w:t>
            </w:r>
          </w:p>
        </w:tc>
        <w:tc>
          <w:tcPr>
            <w:tcW w:w="109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0.88×10</w:t>
            </w:r>
            <w:r>
              <w:rPr>
                <w:color w:val="000000"/>
                <w:position w:val="4"/>
                <w:sz w:val="19"/>
                <w:szCs w:val="19"/>
                <w:vertAlign w:val="superscript"/>
              </w:rPr>
              <w:t>3</w:t>
            </w:r>
          </w:p>
        </w:tc>
      </w:tr>
    </w:tbl>
    <w:p>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rPr>
          <w:rFonts w:ascii="宋体" w:eastAsia="宋体" w:hAnsi="宋体" w:cs="宋体"/>
          <w:color w:val="000000"/>
          <w:sz w:val="21"/>
          <w:szCs w:val="21"/>
        </w:rPr>
        <w:t>认真阅读上表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你一定能有所发现</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请填写其中的三条</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(1)</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(2)</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(3)</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 </w:t>
      </w:r>
    </w:p>
    <w:tbl>
      <w:tblPr>
        <w:tblStyle w:val="TableGridPHPDOC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00"/>
        <w:gridCol w:w="1000"/>
        <w:gridCol w:w="5000"/>
      </w:tblGrid>
      <w:tr>
        <w:tblPrE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评卷人</w:t>
            </w:r>
          </w:p>
        </w:tc>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得分</w:t>
            </w:r>
          </w:p>
        </w:tc>
        <w:tc>
          <w:tcPr>
            <w:tcW w:w="5000" w:type="dxa"/>
            <w:vMerge w:val="restart"/>
            <w:tcBorders>
              <w:top w:val="nil"/>
              <w:left w:val="nil"/>
              <w:bottom w:val="nil"/>
              <w:right w:val="nil"/>
            </w:tcBorders>
            <w:vAlign w:val="center"/>
          </w:tcPr>
          <w:p>
            <w:pPr>
              <w:spacing w:after="0" w:line="240" w:lineRule="auto"/>
            </w:pPr>
            <w:r>
              <w:rPr>
                <w:b/>
                <w:bCs/>
              </w:rPr>
              <w:t>三、简答题</w:t>
            </w:r>
          </w:p>
        </w:tc>
      </w:tr>
      <w:tr>
        <w:tblPrEx>
          <w:tblW w:w="7000" w:type="dxa"/>
          <w:tblInd w:w="0" w:type="dxa"/>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5000" w:type="dxa"/>
            <w:vMerge/>
            <w:tcBorders>
              <w:top w:val="nil"/>
              <w:left w:val="nil"/>
              <w:bottom w:val="nil"/>
              <w:right w:val="nil"/>
            </w:tcBorders>
            <w:vAlign w:val="center"/>
          </w:tcPr>
          <w:p>
            <w:pPr>
              <w:spacing w:after="0" w:line="240" w:lineRule="auto"/>
            </w:pPr>
          </w:p>
        </w:tc>
      </w:tr>
    </w:tbl>
    <w:p>
      <w:r>
        <w:rPr>
          <w:rFonts w:ascii="Times New Roman" w:hAnsi="Times New Roman" w:cs="Times New Roman"/>
        </w:rPr>
        <w:t xml:space="preserve">21. </w:t>
      </w:r>
      <w:r>
        <w:rPr>
          <w:rFonts w:ascii="宋体" w:eastAsia="宋体" w:hAnsi="宋体" w:cs="宋体"/>
          <w:color w:val="000000"/>
          <w:sz w:val="21"/>
          <w:szCs w:val="21"/>
        </w:rPr>
        <w:t>无论是白天还是夜晚</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人们漫步在海滨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会感到习习海风迎面吹拂</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十分畅快</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这样的风非常柔和</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通常情况下</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它白天从海上吹向陆地</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夜晚从陆地吹向海上</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气象上把这种风称为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海陆风</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请你运用学过的物理知识说明海陆风形成的原因</w:t>
      </w:r>
      <w:r>
        <w:rPr>
          <w:rFonts w:ascii="Times New Roman" w:eastAsia="Times New Roman" w:hAnsi="Times New Roman" w:cs="Times New Roman"/>
          <w:color w:val="000000"/>
          <w:sz w:val="21"/>
          <w:szCs w:val="21"/>
        </w:rPr>
        <w:t>.</w:t>
      </w:r>
    </w:p>
    <w:tbl>
      <w:tblPr>
        <w:tblStyle w:val="TableGridPHPDOC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00"/>
        <w:gridCol w:w="1000"/>
        <w:gridCol w:w="5000"/>
      </w:tblGrid>
      <w:tr>
        <w:tblPrE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评卷人</w:t>
            </w:r>
          </w:p>
        </w:tc>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得分</w:t>
            </w:r>
          </w:p>
        </w:tc>
        <w:tc>
          <w:tcPr>
            <w:tcW w:w="5000" w:type="dxa"/>
            <w:vMerge w:val="restart"/>
            <w:tcBorders>
              <w:top w:val="nil"/>
              <w:left w:val="nil"/>
              <w:bottom w:val="nil"/>
              <w:right w:val="nil"/>
            </w:tcBorders>
            <w:vAlign w:val="center"/>
          </w:tcPr>
          <w:p>
            <w:pPr>
              <w:spacing w:after="0" w:line="240" w:lineRule="auto"/>
            </w:pPr>
            <w:r>
              <w:rPr>
                <w:b/>
                <w:bCs/>
              </w:rPr>
              <w:t>四、实验题</w:t>
            </w:r>
          </w:p>
        </w:tc>
      </w:tr>
      <w:tr>
        <w:tblPrEx>
          <w:tblW w:w="7000" w:type="dxa"/>
          <w:tblInd w:w="0" w:type="dxa"/>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5000" w:type="dxa"/>
            <w:vMerge/>
            <w:tcBorders>
              <w:top w:val="nil"/>
              <w:left w:val="nil"/>
              <w:bottom w:val="nil"/>
              <w:right w:val="nil"/>
            </w:tcBorders>
            <w:vAlign w:val="center"/>
          </w:tcPr>
          <w:p>
            <w:pPr>
              <w:spacing w:after="0" w:line="240" w:lineRule="auto"/>
            </w:pPr>
          </w:p>
        </w:tc>
      </w:tr>
    </w:tbl>
    <w:p>
      <w:r>
        <w:rPr>
          <w:rFonts w:ascii="Times New Roman" w:hAnsi="Times New Roman" w:cs="Times New Roman"/>
        </w:rPr>
        <w:t xml:space="preserve">22. </w:t>
      </w:r>
      <w:r>
        <w:rPr>
          <w:rFonts w:ascii="宋体" w:eastAsia="宋体" w:hAnsi="宋体" w:cs="宋体"/>
          <w:color w:val="000000"/>
          <w:sz w:val="21"/>
          <w:szCs w:val="21"/>
        </w:rPr>
        <w:t>小明在学习</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物质的比热容</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取相同质量的水和沙子</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用相同的酒精灯加热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测得它们升高的温度如表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并在图乙中作出沙子升高的温度随时间变化的图线</w:t>
      </w:r>
      <w:r>
        <w:rPr>
          <w:rFonts w:ascii="Times New Roman" w:eastAsia="Times New Roman" w:hAnsi="Times New Roman" w:cs="Times New Roman"/>
          <w:color w:val="000000"/>
          <w:sz w:val="21"/>
          <w:szCs w:val="21"/>
        </w:rPr>
        <w:t>.</w:t>
      </w:r>
    </w:p>
    <w:tbl>
      <w:tblPr>
        <w:tblStyle w:val="TableGridPHPDOCX"/>
        <w:tblW w:w="8720" w:type="dxa"/>
        <w:tblInd w:w="0" w:type="dxa"/>
        <w:tblBorders>
          <w:top w:val="outset" w:sz="4" w:space="0" w:color="808080"/>
          <w:left w:val="outset" w:sz="4" w:space="0" w:color="808080"/>
          <w:bottom w:val="outset" w:sz="4" w:space="0" w:color="808080"/>
          <w:right w:val="outset" w:sz="4" w:space="0" w:color="808080"/>
          <w:insideH w:val="single" w:sz="4" w:space="0" w:color="auto"/>
          <w:insideV w:val="single" w:sz="4" w:space="0" w:color="auto"/>
        </w:tblBorders>
        <w:tblLayout w:type="fixed"/>
        <w:tblCellMar>
          <w:top w:w="0" w:type="dxa"/>
          <w:left w:w="108" w:type="dxa"/>
          <w:bottom w:w="0" w:type="dxa"/>
          <w:right w:w="108" w:type="dxa"/>
        </w:tblCellMar>
      </w:tblPr>
      <w:tblGrid>
        <w:gridCol w:w="1246"/>
        <w:gridCol w:w="1245"/>
        <w:gridCol w:w="1246"/>
        <w:gridCol w:w="1246"/>
        <w:gridCol w:w="1246"/>
        <w:gridCol w:w="1245"/>
        <w:gridCol w:w="1246"/>
      </w:tblGrid>
      <w:tr>
        <w:tblPrEx>
          <w:tblW w:w="8720" w:type="dxa"/>
          <w:tblInd w:w="0" w:type="dxa"/>
          <w:tblBorders>
            <w:top w:val="outset" w:sz="4" w:space="0" w:color="808080"/>
            <w:left w:val="outset" w:sz="4" w:space="0" w:color="808080"/>
            <w:bottom w:val="outset" w:sz="4" w:space="0" w:color="808080"/>
            <w:right w:val="outset" w:sz="4" w:space="0" w:color="808080"/>
            <w:insideH w:val="single" w:sz="4" w:space="0" w:color="auto"/>
            <w:insideV w:val="single" w:sz="4" w:space="0" w:color="auto"/>
          </w:tblBorders>
          <w:tblLayout w:type="fixed"/>
          <w:tblCellMar>
            <w:top w:w="0" w:type="dxa"/>
            <w:left w:w="108" w:type="dxa"/>
            <w:bottom w:w="0" w:type="dxa"/>
            <w:right w:w="108" w:type="dxa"/>
          </w:tblCellMar>
        </w:tblPrEx>
        <w:trPr>
          <w:trHeight w:val="0"/>
        </w:trPr>
        <w:tc>
          <w:tcPr>
            <w:tcW w:w="2491" w:type="dxa"/>
            <w:gridSpan w:val="2"/>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加热时间/min</w:t>
            </w:r>
          </w:p>
        </w:tc>
        <w:tc>
          <w:tcPr>
            <w:tcW w:w="1246"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0.5</w:t>
            </w:r>
          </w:p>
        </w:tc>
        <w:tc>
          <w:tcPr>
            <w:tcW w:w="1246"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1.0</w:t>
            </w:r>
          </w:p>
        </w:tc>
        <w:tc>
          <w:tcPr>
            <w:tcW w:w="1246"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1.5</w:t>
            </w:r>
          </w:p>
        </w:tc>
        <w:tc>
          <w:tcPr>
            <w:tcW w:w="1245"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2.0</w:t>
            </w:r>
          </w:p>
        </w:tc>
        <w:tc>
          <w:tcPr>
            <w:tcW w:w="1246"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2.5</w:t>
            </w:r>
          </w:p>
        </w:tc>
      </w:tr>
      <w:tr>
        <w:tblPrEx>
          <w:tblW w:w="8720" w:type="dxa"/>
          <w:tblInd w:w="0" w:type="dxa"/>
          <w:tblLayout w:type="fixed"/>
          <w:tblCellMar>
            <w:top w:w="0" w:type="dxa"/>
            <w:left w:w="108" w:type="dxa"/>
            <w:bottom w:w="0" w:type="dxa"/>
            <w:right w:w="108" w:type="dxa"/>
          </w:tblCellMar>
        </w:tblPrEx>
        <w:trPr>
          <w:trHeight w:val="0"/>
        </w:trPr>
        <w:tc>
          <w:tcPr>
            <w:tcW w:w="1246" w:type="dxa"/>
            <w:vMerge w:val="restart"/>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温度/℃</w:t>
            </w:r>
          </w:p>
        </w:tc>
        <w:tc>
          <w:tcPr>
            <w:tcW w:w="1245"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水</w:t>
            </w:r>
          </w:p>
        </w:tc>
        <w:tc>
          <w:tcPr>
            <w:tcW w:w="1246"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2.0</w:t>
            </w:r>
          </w:p>
        </w:tc>
        <w:tc>
          <w:tcPr>
            <w:tcW w:w="1246"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4.0</w:t>
            </w:r>
          </w:p>
        </w:tc>
        <w:tc>
          <w:tcPr>
            <w:tcW w:w="1246"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6.0</w:t>
            </w:r>
          </w:p>
        </w:tc>
        <w:tc>
          <w:tcPr>
            <w:tcW w:w="1245"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8.0</w:t>
            </w:r>
          </w:p>
        </w:tc>
        <w:tc>
          <w:tcPr>
            <w:tcW w:w="1246"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10.0</w:t>
            </w:r>
          </w:p>
        </w:tc>
      </w:tr>
      <w:tr>
        <w:tblPrEx>
          <w:tblW w:w="8720" w:type="dxa"/>
          <w:tblInd w:w="0" w:type="dxa"/>
          <w:tblLayout w:type="fixed"/>
          <w:tblCellMar>
            <w:top w:w="0" w:type="dxa"/>
            <w:left w:w="108" w:type="dxa"/>
            <w:bottom w:w="0" w:type="dxa"/>
            <w:right w:w="108" w:type="dxa"/>
          </w:tblCellMar>
        </w:tblPrEx>
        <w:trPr>
          <w:trHeight w:val="0"/>
        </w:trPr>
        <w:tc>
          <w:tcPr>
            <w:tcW w:w="1246" w:type="dxa"/>
            <w:vMerge/>
            <w:tcBorders>
              <w:top w:val="inset" w:sz="6" w:space="0" w:color="000000"/>
              <w:left w:val="inset" w:sz="6" w:space="0" w:color="000000"/>
              <w:bottom w:val="inset" w:sz="6" w:space="0" w:color="000000"/>
              <w:right w:val="inset" w:sz="6" w:space="0" w:color="000000"/>
            </w:tcBorders>
          </w:tcPr>
          <w:p>
            <w:pPr>
              <w:spacing w:after="0" w:line="240" w:lineRule="auto"/>
            </w:pPr>
          </w:p>
        </w:tc>
        <w:tc>
          <w:tcPr>
            <w:tcW w:w="1245"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沙子</w:t>
            </w:r>
          </w:p>
        </w:tc>
        <w:tc>
          <w:tcPr>
            <w:tcW w:w="1246"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4.3</w:t>
            </w:r>
          </w:p>
        </w:tc>
        <w:tc>
          <w:tcPr>
            <w:tcW w:w="1246"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7.9</w:t>
            </w:r>
          </w:p>
        </w:tc>
        <w:tc>
          <w:tcPr>
            <w:tcW w:w="1246"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15.2</w:t>
            </w:r>
          </w:p>
        </w:tc>
        <w:tc>
          <w:tcPr>
            <w:tcW w:w="1245"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18.4</w:t>
            </w:r>
          </w:p>
        </w:tc>
        <w:tc>
          <w:tcPr>
            <w:tcW w:w="1246"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21.5</w:t>
            </w:r>
          </w:p>
        </w:tc>
      </w:tr>
    </w:tbl>
    <w:p>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2753360" cy="1819910"/>
            <wp:effectExtent l="0" t="0" r="8890" b="8890"/>
            <wp:docPr id="567484478" name="0 Imagen" descr="images/3e7f1fc4-bbfa-4adb-8b58-a41a75bcfd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484478" name="0 Imagen" descr="images/3e7f1fc4-bbfa-4adb-8b58-a41a75bcfd67.png"/>
                    <pic:cNvPicPr>
                      <a:picLocks noChangeAspect="1"/>
                    </pic:cNvPicPr>
                  </pic:nvPicPr>
                  <pic:blipFill>
                    <a:blip xmlns:r="http://schemas.openxmlformats.org/officeDocument/2006/relationships" r:embed="rId14" cstate="print"/>
                    <a:stretch>
                      <a:fillRect/>
                    </a:stretch>
                  </pic:blipFill>
                  <pic:spPr>
                    <a:xfrm>
                      <a:off x="0" y="0"/>
                      <a:ext cx="2753360" cy="1819910"/>
                    </a:xfrm>
                    <a:prstGeom prst="rect">
                      <a:avLst/>
                    </a:prstGeom>
                  </pic:spPr>
                </pic:pic>
              </a:graphicData>
            </a:graphic>
          </wp:inline>
        </w:drawing>
      </w:r>
    </w:p>
    <w:p>
      <w:r>
        <w:rPr>
          <w:rFonts w:ascii="Times New Roman" w:hAnsi="Times New Roman" w:cs="Times New Roman"/>
        </w:rPr>
        <w:t>(1)</w:t>
      </w:r>
      <w:r>
        <w:rPr>
          <w:rFonts w:ascii="宋体" w:eastAsia="宋体" w:hAnsi="宋体" w:cs="宋体"/>
          <w:color w:val="000000"/>
          <w:sz w:val="21"/>
          <w:szCs w:val="21"/>
        </w:rPr>
        <w:t>用温度计测量水的初温如图甲所示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其读数为</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w:t>
      </w:r>
    </w:p>
    <w:p>
      <w:r>
        <w:rPr>
          <w:rFonts w:ascii="Times New Roman" w:hAnsi="Times New Roman" w:cs="Times New Roman"/>
        </w:rPr>
        <w:t>(2)</w:t>
      </w:r>
      <w:r>
        <w:rPr>
          <w:rFonts w:ascii="宋体" w:eastAsia="宋体" w:hAnsi="宋体" w:cs="宋体"/>
          <w:color w:val="000000"/>
          <w:sz w:val="21"/>
          <w:szCs w:val="21"/>
        </w:rPr>
        <w:t>实验中选用相同的酒精灯加热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可以认为相同时间内水和沙子</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相同</w:t>
      </w:r>
      <w:r>
        <w:rPr>
          <w:rFonts w:ascii="Times New Roman" w:eastAsia="Times New Roman" w:hAnsi="Times New Roman" w:cs="Times New Roman"/>
          <w:color w:val="000000"/>
          <w:sz w:val="21"/>
          <w:szCs w:val="21"/>
        </w:rPr>
        <w:t>.</w:t>
      </w:r>
    </w:p>
    <w:p>
      <w:r>
        <w:rPr>
          <w:rFonts w:ascii="Times New Roman" w:hAnsi="Times New Roman" w:cs="Times New Roman"/>
        </w:rPr>
        <w:t>(3)</w:t>
      </w:r>
      <w:r>
        <w:rPr>
          <w:rFonts w:ascii="宋体" w:eastAsia="宋体" w:hAnsi="宋体" w:cs="宋体"/>
          <w:color w:val="000000"/>
          <w:sz w:val="21"/>
          <w:szCs w:val="21"/>
        </w:rPr>
        <w:t>请利用表中数据在图乙中作出表示水升高的温度随时间变化规律的图线</w:t>
      </w:r>
      <w:r>
        <w:rPr>
          <w:rFonts w:ascii="Times New Roman" w:eastAsia="Times New Roman" w:hAnsi="Times New Roman" w:cs="Times New Roman"/>
          <w:color w:val="000000"/>
          <w:sz w:val="21"/>
          <w:szCs w:val="21"/>
        </w:rPr>
        <w:t>.</w:t>
      </w:r>
    </w:p>
    <w:p>
      <w:r>
        <w:rPr>
          <w:rFonts w:ascii="Times New Roman" w:hAnsi="Times New Roman" w:cs="Times New Roman"/>
        </w:rPr>
        <w:t>(4)</w:t>
      </w:r>
      <w:r>
        <w:rPr>
          <w:rFonts w:ascii="宋体" w:eastAsia="宋体" w:hAnsi="宋体" w:cs="宋体"/>
          <w:color w:val="000000"/>
          <w:sz w:val="21"/>
          <w:szCs w:val="21"/>
        </w:rPr>
        <w:t>沙子在</w:t>
      </w:r>
      <w:r>
        <w:rPr>
          <w:rFonts w:ascii="Times New Roman" w:eastAsia="Times New Roman" w:hAnsi="Times New Roman" w:cs="Times New Roman"/>
          <w:color w:val="000000"/>
          <w:sz w:val="21"/>
          <w:szCs w:val="21"/>
        </w:rPr>
        <w:t>1.0~1.5 min</w:t>
      </w:r>
      <w:r>
        <w:rPr>
          <w:rFonts w:ascii="宋体" w:eastAsia="宋体" w:hAnsi="宋体" w:cs="宋体"/>
          <w:color w:val="000000"/>
          <w:sz w:val="21"/>
          <w:szCs w:val="21"/>
        </w:rPr>
        <w:t>内升高的温度有明显异常</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其主要原因是</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w:t>
      </w:r>
    </w:p>
    <w:p>
      <w:r>
        <w:rPr>
          <w:rFonts w:ascii="Times New Roman" w:hAnsi="Times New Roman" w:cs="Times New Roman"/>
        </w:rPr>
        <w:t>(5)</w:t>
      </w:r>
      <w:r>
        <w:rPr>
          <w:rFonts w:ascii="宋体" w:eastAsia="宋体" w:hAnsi="宋体" w:cs="宋体"/>
          <w:color w:val="000000"/>
          <w:sz w:val="21"/>
          <w:szCs w:val="21"/>
        </w:rPr>
        <w:t>小明再用</w:t>
      </w:r>
      <w:r>
        <w:rPr>
          <w:rFonts w:ascii="Times New Roman" w:eastAsia="Times New Roman" w:hAnsi="Times New Roman" w:cs="Times New Roman"/>
          <w:color w:val="000000"/>
          <w:sz w:val="21"/>
          <w:szCs w:val="21"/>
        </w:rPr>
        <w:t>50 g</w:t>
      </w:r>
      <w:r>
        <w:rPr>
          <w:rFonts w:ascii="宋体" w:eastAsia="宋体" w:hAnsi="宋体" w:cs="宋体"/>
          <w:color w:val="000000"/>
          <w:sz w:val="21"/>
          <w:szCs w:val="21"/>
        </w:rPr>
        <w:t>水和</w:t>
      </w:r>
      <w:r>
        <w:rPr>
          <w:rFonts w:ascii="Times New Roman" w:eastAsia="Times New Roman" w:hAnsi="Times New Roman" w:cs="Times New Roman"/>
          <w:color w:val="000000"/>
          <w:sz w:val="21"/>
          <w:szCs w:val="21"/>
        </w:rPr>
        <w:t>100 g</w:t>
      </w:r>
      <w:r>
        <w:rPr>
          <w:rFonts w:ascii="宋体" w:eastAsia="宋体" w:hAnsi="宋体" w:cs="宋体"/>
          <w:color w:val="000000"/>
          <w:sz w:val="21"/>
          <w:szCs w:val="21"/>
        </w:rPr>
        <w:t>水做实验</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以吸收的热量</w:t>
      </w:r>
      <w:r>
        <w:rPr>
          <w:rFonts w:ascii="Times New Roman" w:eastAsia="Times New Roman" w:hAnsi="Times New Roman" w:cs="Times New Roman"/>
          <w:i/>
          <w:iCs/>
          <w:color w:val="000000"/>
          <w:sz w:val="21"/>
          <w:szCs w:val="21"/>
        </w:rPr>
        <w:t>Q</w:t>
      </w:r>
      <w:r>
        <w:rPr>
          <w:rFonts w:ascii="宋体" w:eastAsia="宋体" w:hAnsi="宋体" w:cs="宋体"/>
          <w:color w:val="000000"/>
          <w:sz w:val="21"/>
          <w:szCs w:val="21"/>
        </w:rPr>
        <w:t>为纵坐标</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升高的温度</w:t>
      </w:r>
      <w:r>
        <w:rPr>
          <w:rFonts w:ascii="Times New Roman" w:eastAsia="Times New Roman" w:hAnsi="Times New Roman" w:cs="Times New Roman"/>
          <w:color w:val="000000"/>
          <w:sz w:val="21"/>
          <w:szCs w:val="21"/>
        </w:rPr>
        <w:t>Δ</w:t>
      </w:r>
      <w:r>
        <w:rPr>
          <w:rFonts w:ascii="Times New Roman" w:eastAsia="Times New Roman" w:hAnsi="Times New Roman" w:cs="Times New Roman"/>
          <w:i/>
          <w:iCs/>
          <w:color w:val="000000"/>
          <w:sz w:val="21"/>
          <w:szCs w:val="21"/>
        </w:rPr>
        <w:t>t</w:t>
      </w:r>
      <w:r>
        <w:rPr>
          <w:rFonts w:ascii="宋体" w:eastAsia="宋体" w:hAnsi="宋体" w:cs="宋体"/>
          <w:color w:val="000000"/>
          <w:sz w:val="21"/>
          <w:szCs w:val="21"/>
        </w:rPr>
        <w:t>为横坐标</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分别画出</w:t>
      </w:r>
      <w:r>
        <w:rPr>
          <w:rFonts w:ascii="Times New Roman" w:eastAsia="Times New Roman" w:hAnsi="Times New Roman" w:cs="Times New Roman"/>
          <w:color w:val="000000"/>
          <w:sz w:val="21"/>
          <w:szCs w:val="21"/>
        </w:rPr>
        <w:t>50 g</w:t>
      </w:r>
      <w:r>
        <w:rPr>
          <w:rFonts w:ascii="宋体" w:eastAsia="宋体" w:hAnsi="宋体" w:cs="宋体"/>
          <w:color w:val="000000"/>
          <w:sz w:val="21"/>
          <w:szCs w:val="21"/>
        </w:rPr>
        <w:t>水和</w:t>
      </w:r>
      <w:r>
        <w:rPr>
          <w:rFonts w:ascii="Times New Roman" w:eastAsia="Times New Roman" w:hAnsi="Times New Roman" w:cs="Times New Roman"/>
          <w:color w:val="000000"/>
          <w:sz w:val="21"/>
          <w:szCs w:val="21"/>
        </w:rPr>
        <w:t>100 g</w:t>
      </w:r>
      <w:r>
        <w:rPr>
          <w:rFonts w:ascii="宋体" w:eastAsia="宋体" w:hAnsi="宋体" w:cs="宋体"/>
          <w:color w:val="000000"/>
          <w:sz w:val="21"/>
          <w:szCs w:val="21"/>
        </w:rPr>
        <w:t>水的</w:t>
      </w:r>
      <w:r>
        <w:rPr>
          <w:rFonts w:ascii="Times New Roman" w:eastAsia="Times New Roman" w:hAnsi="Times New Roman" w:cs="Times New Roman"/>
          <w:i/>
          <w:iCs/>
          <w:color w:val="000000"/>
          <w:sz w:val="21"/>
          <w:szCs w:val="21"/>
        </w:rPr>
        <w:t>Q</w:t>
      </w:r>
      <w:r>
        <w:rPr>
          <w:rFonts w:ascii="Times New Roman" w:eastAsia="Times New Roman" w:hAnsi="Times New Roman" w:cs="Times New Roman"/>
          <w:color w:val="000000"/>
          <w:sz w:val="21"/>
          <w:szCs w:val="21"/>
        </w:rPr>
        <w:t>-Δ</w:t>
      </w:r>
      <w:r>
        <w:rPr>
          <w:rFonts w:ascii="Times New Roman" w:eastAsia="Times New Roman" w:hAnsi="Times New Roman" w:cs="Times New Roman"/>
          <w:i/>
          <w:iCs/>
          <w:color w:val="000000"/>
          <w:sz w:val="21"/>
          <w:szCs w:val="21"/>
        </w:rPr>
        <w:t>t</w:t>
      </w:r>
      <w:r>
        <w:rPr>
          <w:rFonts w:ascii="宋体" w:eastAsia="宋体" w:hAnsi="宋体" w:cs="宋体"/>
          <w:color w:val="000000"/>
          <w:sz w:val="21"/>
          <w:szCs w:val="21"/>
        </w:rPr>
        <w:t>图象</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它们都是过原点的直线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即</w:t>
      </w:r>
      <w:r>
        <w:rPr>
          <w:rFonts w:ascii="Times New Roman" w:eastAsia="Times New Roman" w:hAnsi="Times New Roman" w:cs="Times New Roman"/>
          <w:i/>
          <w:iCs/>
          <w:color w:val="000000"/>
          <w:sz w:val="21"/>
          <w:szCs w:val="21"/>
        </w:rPr>
        <w:t>Q</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k</w:t>
      </w:r>
      <w:r>
        <w:rPr>
          <w:rFonts w:ascii="Times New Roman" w:eastAsia="Times New Roman" w:hAnsi="Times New Roman" w:cs="Times New Roman"/>
          <w:color w:val="000000"/>
          <w:sz w:val="21"/>
          <w:szCs w:val="21"/>
        </w:rPr>
        <w:t>Δ</w:t>
      </w:r>
      <w:r>
        <w:rPr>
          <w:rFonts w:ascii="Times New Roman" w:eastAsia="Times New Roman" w:hAnsi="Times New Roman" w:cs="Times New Roman"/>
          <w:i/>
          <w:iCs/>
          <w:color w:val="000000"/>
          <w:sz w:val="21"/>
          <w:szCs w:val="21"/>
        </w:rPr>
        <w:t>t</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进一步分析</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发现这两条直线的</w:t>
      </w:r>
      <w:r>
        <w:rPr>
          <w:rFonts w:ascii="Times New Roman" w:eastAsia="Times New Roman" w:hAnsi="Times New Roman" w:cs="Times New Roman"/>
          <w:i/>
          <w:iCs/>
          <w:color w:val="000000"/>
          <w:sz w:val="21"/>
          <w:szCs w:val="21"/>
        </w:rPr>
        <w:t>k</w:t>
      </w:r>
      <w:r>
        <w:rPr>
          <w:rFonts w:ascii="宋体" w:eastAsia="宋体" w:hAnsi="宋体" w:cs="宋体"/>
          <w:color w:val="000000"/>
          <w:sz w:val="21"/>
          <w:szCs w:val="21"/>
        </w:rPr>
        <w:t>值与对应水的</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之比相等</w:t>
      </w:r>
      <w:r>
        <w:rPr>
          <w:rFonts w:ascii="Times New Roman" w:eastAsia="Times New Roman" w:hAnsi="Times New Roman" w:cs="Times New Roman"/>
          <w:color w:val="000000"/>
          <w:sz w:val="21"/>
          <w:szCs w:val="21"/>
        </w:rPr>
        <w:t>.</w:t>
      </w:r>
    </w:p>
    <w:tbl>
      <w:tblPr>
        <w:tblStyle w:val="TableGridPHPDOC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00"/>
        <w:gridCol w:w="1000"/>
        <w:gridCol w:w="5000"/>
      </w:tblGrid>
      <w:tr>
        <w:tblPrE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评卷人</w:t>
            </w:r>
          </w:p>
        </w:tc>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得分</w:t>
            </w:r>
          </w:p>
        </w:tc>
        <w:tc>
          <w:tcPr>
            <w:tcW w:w="5000" w:type="dxa"/>
            <w:vMerge w:val="restart"/>
            <w:tcBorders>
              <w:top w:val="nil"/>
              <w:left w:val="nil"/>
              <w:bottom w:val="nil"/>
              <w:right w:val="nil"/>
            </w:tcBorders>
            <w:vAlign w:val="center"/>
          </w:tcPr>
          <w:p>
            <w:pPr>
              <w:spacing w:after="0" w:line="240" w:lineRule="auto"/>
            </w:pPr>
            <w:r>
              <w:rPr>
                <w:b/>
                <w:bCs/>
              </w:rPr>
              <w:t>五、综合题</w:t>
            </w:r>
          </w:p>
        </w:tc>
      </w:tr>
      <w:tr>
        <w:tblPrEx>
          <w:tblW w:w="7000" w:type="dxa"/>
          <w:tblInd w:w="0" w:type="dxa"/>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5000" w:type="dxa"/>
            <w:vMerge/>
            <w:tcBorders>
              <w:top w:val="nil"/>
              <w:left w:val="nil"/>
              <w:bottom w:val="nil"/>
              <w:right w:val="nil"/>
            </w:tcBorders>
            <w:vAlign w:val="center"/>
          </w:tcPr>
          <w:p>
            <w:pPr>
              <w:spacing w:after="0" w:line="240" w:lineRule="auto"/>
            </w:pPr>
          </w:p>
        </w:tc>
      </w:tr>
    </w:tbl>
    <w:p>
      <w:r>
        <w:rPr>
          <w:rFonts w:ascii="Times New Roman" w:hAnsi="Times New Roman" w:cs="Times New Roman"/>
        </w:rPr>
        <w:t xml:space="preserve">23. </w:t>
      </w:r>
      <w:r>
        <w:rPr>
          <w:rFonts w:ascii="宋体" w:eastAsia="宋体" w:hAnsi="宋体" w:cs="宋体"/>
          <w:color w:val="000000"/>
          <w:sz w:val="21"/>
          <w:szCs w:val="21"/>
        </w:rPr>
        <w:t>如图所示是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探究不同物质吸热升温现象</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的实验</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将质量相等的沙子和水分别装在易拉罐中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并测出沙子和水的初温</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然后用酒精灯加热并不断搅拌</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每隔</w:t>
      </w:r>
      <w:r>
        <w:rPr>
          <w:rFonts w:ascii="Times New Roman" w:eastAsia="Times New Roman" w:hAnsi="Times New Roman" w:cs="Times New Roman"/>
          <w:color w:val="000000"/>
          <w:sz w:val="21"/>
          <w:szCs w:val="21"/>
        </w:rPr>
        <w:t>1 min</w:t>
      </w:r>
      <w:r>
        <w:rPr>
          <w:rFonts w:ascii="宋体" w:eastAsia="宋体" w:hAnsi="宋体" w:cs="宋体"/>
          <w:color w:val="000000"/>
          <w:sz w:val="21"/>
          <w:szCs w:val="21"/>
        </w:rPr>
        <w:t>记录一次温度</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rPr>
          <w:rFonts w:ascii="宋体" w:eastAsia="宋体" w:hAnsi="宋体" w:cs="宋体"/>
          <w:color w:val="000000"/>
          <w:sz w:val="21"/>
          <w:szCs w:val="21"/>
        </w:rPr>
        <w:t>实验记录如下表</w:t>
      </w:r>
    </w:p>
    <w:tbl>
      <w:tblPr>
        <w:tblStyle w:val="TableGridPHPDOCX"/>
        <w:tblW w:w="8720" w:type="dxa"/>
        <w:tblInd w:w="0" w:type="dxa"/>
        <w:tblBorders>
          <w:top w:val="outset" w:sz="4" w:space="0" w:color="808080"/>
          <w:left w:val="outset" w:sz="4" w:space="0" w:color="808080"/>
          <w:bottom w:val="outset" w:sz="4" w:space="0" w:color="808080"/>
          <w:right w:val="outset" w:sz="4" w:space="0" w:color="808080"/>
          <w:insideH w:val="single" w:sz="4" w:space="0" w:color="auto"/>
          <w:insideV w:val="single" w:sz="4" w:space="0" w:color="auto"/>
        </w:tblBorders>
        <w:tblLayout w:type="fixed"/>
        <w:tblCellMar>
          <w:top w:w="0" w:type="dxa"/>
          <w:left w:w="108" w:type="dxa"/>
          <w:bottom w:w="0" w:type="dxa"/>
          <w:right w:w="108" w:type="dxa"/>
        </w:tblCellMar>
      </w:tblPr>
      <w:tblGrid>
        <w:gridCol w:w="1246"/>
        <w:gridCol w:w="1245"/>
        <w:gridCol w:w="1246"/>
        <w:gridCol w:w="1246"/>
        <w:gridCol w:w="1246"/>
        <w:gridCol w:w="1245"/>
        <w:gridCol w:w="1246"/>
      </w:tblGrid>
      <w:tr>
        <w:tblPrEx>
          <w:tblW w:w="8720" w:type="dxa"/>
          <w:tblInd w:w="0" w:type="dxa"/>
          <w:tblBorders>
            <w:top w:val="outset" w:sz="4" w:space="0" w:color="808080"/>
            <w:left w:val="outset" w:sz="4" w:space="0" w:color="808080"/>
            <w:bottom w:val="outset" w:sz="4" w:space="0" w:color="808080"/>
            <w:right w:val="outset" w:sz="4" w:space="0" w:color="808080"/>
            <w:insideH w:val="single" w:sz="4" w:space="0" w:color="auto"/>
            <w:insideV w:val="single" w:sz="4" w:space="0" w:color="auto"/>
          </w:tblBorders>
          <w:tblLayout w:type="fixed"/>
          <w:tblCellMar>
            <w:top w:w="0" w:type="dxa"/>
            <w:left w:w="108" w:type="dxa"/>
            <w:bottom w:w="0" w:type="dxa"/>
            <w:right w:w="108" w:type="dxa"/>
          </w:tblCellMar>
        </w:tblPrEx>
        <w:trPr>
          <w:trHeight w:val="0"/>
        </w:trPr>
        <w:tc>
          <w:tcPr>
            <w:tcW w:w="2491" w:type="dxa"/>
            <w:gridSpan w:val="2"/>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加热时间/min</w:t>
            </w:r>
          </w:p>
        </w:tc>
        <w:tc>
          <w:tcPr>
            <w:tcW w:w="1246"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0</w:t>
            </w:r>
          </w:p>
        </w:tc>
        <w:tc>
          <w:tcPr>
            <w:tcW w:w="1246"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1</w:t>
            </w:r>
          </w:p>
        </w:tc>
        <w:tc>
          <w:tcPr>
            <w:tcW w:w="1246"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2</w:t>
            </w:r>
          </w:p>
        </w:tc>
        <w:tc>
          <w:tcPr>
            <w:tcW w:w="1245"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3</w:t>
            </w:r>
          </w:p>
        </w:tc>
        <w:tc>
          <w:tcPr>
            <w:tcW w:w="1246"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4</w:t>
            </w:r>
          </w:p>
        </w:tc>
      </w:tr>
      <w:tr>
        <w:tblPrEx>
          <w:tblW w:w="8720" w:type="dxa"/>
          <w:tblInd w:w="0" w:type="dxa"/>
          <w:tblLayout w:type="fixed"/>
          <w:tblCellMar>
            <w:top w:w="0" w:type="dxa"/>
            <w:left w:w="108" w:type="dxa"/>
            <w:bottom w:w="0" w:type="dxa"/>
            <w:right w:w="108" w:type="dxa"/>
          </w:tblCellMar>
        </w:tblPrEx>
        <w:trPr>
          <w:trHeight w:val="0"/>
        </w:trPr>
        <w:tc>
          <w:tcPr>
            <w:tcW w:w="1246" w:type="dxa"/>
            <w:vMerge w:val="restart"/>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温度/℃</w:t>
            </w:r>
          </w:p>
        </w:tc>
        <w:tc>
          <w:tcPr>
            <w:tcW w:w="1245"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沙子</w:t>
            </w:r>
          </w:p>
        </w:tc>
        <w:tc>
          <w:tcPr>
            <w:tcW w:w="1246"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20</w:t>
            </w:r>
          </w:p>
        </w:tc>
        <w:tc>
          <w:tcPr>
            <w:tcW w:w="1246"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25</w:t>
            </w:r>
          </w:p>
        </w:tc>
        <w:tc>
          <w:tcPr>
            <w:tcW w:w="1246"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29</w:t>
            </w:r>
          </w:p>
        </w:tc>
        <w:tc>
          <w:tcPr>
            <w:tcW w:w="1245"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34</w:t>
            </w:r>
          </w:p>
        </w:tc>
        <w:tc>
          <w:tcPr>
            <w:tcW w:w="1246"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38</w:t>
            </w:r>
          </w:p>
        </w:tc>
      </w:tr>
      <w:tr>
        <w:tblPrEx>
          <w:tblW w:w="8720" w:type="dxa"/>
          <w:tblInd w:w="0" w:type="dxa"/>
          <w:tblLayout w:type="fixed"/>
          <w:tblCellMar>
            <w:top w:w="0" w:type="dxa"/>
            <w:left w:w="108" w:type="dxa"/>
            <w:bottom w:w="0" w:type="dxa"/>
            <w:right w:w="108" w:type="dxa"/>
          </w:tblCellMar>
        </w:tblPrEx>
        <w:trPr>
          <w:trHeight w:val="0"/>
        </w:trPr>
        <w:tc>
          <w:tcPr>
            <w:tcW w:w="1246" w:type="dxa"/>
            <w:vMerge/>
            <w:tcBorders>
              <w:top w:val="inset" w:sz="6" w:space="0" w:color="000000"/>
              <w:left w:val="inset" w:sz="6" w:space="0" w:color="000000"/>
              <w:bottom w:val="inset" w:sz="6" w:space="0" w:color="000000"/>
              <w:right w:val="inset" w:sz="6" w:space="0" w:color="000000"/>
            </w:tcBorders>
          </w:tcPr>
          <w:p>
            <w:pPr>
              <w:spacing w:after="0" w:line="240" w:lineRule="auto"/>
            </w:pPr>
          </w:p>
        </w:tc>
        <w:tc>
          <w:tcPr>
            <w:tcW w:w="1245"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水</w:t>
            </w:r>
          </w:p>
        </w:tc>
        <w:tc>
          <w:tcPr>
            <w:tcW w:w="1246"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20</w:t>
            </w:r>
          </w:p>
        </w:tc>
        <w:tc>
          <w:tcPr>
            <w:tcW w:w="1246"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21</w:t>
            </w:r>
          </w:p>
        </w:tc>
        <w:tc>
          <w:tcPr>
            <w:tcW w:w="1246"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22</w:t>
            </w:r>
          </w:p>
        </w:tc>
        <w:tc>
          <w:tcPr>
            <w:tcW w:w="1245"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23</w:t>
            </w:r>
          </w:p>
        </w:tc>
        <w:tc>
          <w:tcPr>
            <w:tcW w:w="1246"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24</w:t>
            </w:r>
          </w:p>
        </w:tc>
      </w:tr>
    </w:tbl>
    <w:p>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1737360" cy="1703070"/>
            <wp:effectExtent l="0" t="0" r="0" b="0"/>
            <wp:docPr id="952423781" name="0 Imagen" descr="images/4914a32e-01f4-4eb3-a8c5-f4e72a88ba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423781" name="0 Imagen" descr="images/4914a32e-01f4-4eb3-a8c5-f4e72a88baad.png"/>
                    <pic:cNvPicPr>
                      <a:picLocks noChangeAspect="1"/>
                    </pic:cNvPicPr>
                  </pic:nvPicPr>
                  <pic:blipFill>
                    <a:blip xmlns:r="http://schemas.openxmlformats.org/officeDocument/2006/relationships" r:embed="rId15" cstate="print"/>
                    <a:stretch>
                      <a:fillRect/>
                    </a:stretch>
                  </pic:blipFill>
                  <pic:spPr>
                    <a:xfrm>
                      <a:off x="0" y="0"/>
                      <a:ext cx="1737360" cy="1703070"/>
                    </a:xfrm>
                    <a:prstGeom prst="rect">
                      <a:avLst/>
                    </a:prstGeom>
                  </pic:spPr>
                </pic:pic>
              </a:graphicData>
            </a:graphic>
          </wp:inline>
        </w:drawing>
      </w:r>
      <w:r>
        <w:drawing>
          <wp:inline distT="0" distB="0" distL="0" distR="0">
            <wp:extent cx="1760220" cy="1694815"/>
            <wp:effectExtent l="0" t="0" r="0" b="0"/>
            <wp:docPr id="878533248" name="0 Imagen" descr="images/acb7dc50-ca91-4566-a586-d6e8f85114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533248" name="0 Imagen" descr="images/acb7dc50-ca91-4566-a586-d6e8f8511498.png"/>
                    <pic:cNvPicPr>
                      <a:picLocks noChangeAspect="1"/>
                    </pic:cNvPicPr>
                  </pic:nvPicPr>
                  <pic:blipFill>
                    <a:blip xmlns:r="http://schemas.openxmlformats.org/officeDocument/2006/relationships" r:embed="rId16" cstate="print"/>
                    <a:stretch>
                      <a:fillRect/>
                    </a:stretch>
                  </pic:blipFill>
                  <pic:spPr>
                    <a:xfrm>
                      <a:off x="0" y="0"/>
                      <a:ext cx="1760376" cy="1695061"/>
                    </a:xfrm>
                    <a:prstGeom prst="rect">
                      <a:avLst/>
                    </a:prstGeom>
                  </pic:spPr>
                </pic:pic>
              </a:graphicData>
            </a:graphic>
          </wp:inline>
        </w:drawing>
      </w:r>
    </w:p>
    <w:p>
      <w:r>
        <w:rPr>
          <w:rFonts w:ascii="Times New Roman" w:hAnsi="Times New Roman" w:cs="Times New Roman"/>
        </w:rPr>
        <w:t>(1)</w:t>
      </w:r>
      <w:r>
        <w:rPr>
          <w:rFonts w:ascii="宋体" w:eastAsia="宋体" w:hAnsi="宋体" w:cs="宋体"/>
          <w:color w:val="000000"/>
          <w:sz w:val="21"/>
          <w:szCs w:val="21"/>
        </w:rPr>
        <w:t>实验中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加热时间实质上反映了</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 </w:t>
      </w:r>
    </w:p>
    <w:p>
      <w:r>
        <w:rPr>
          <w:rFonts w:ascii="Times New Roman" w:hAnsi="Times New Roman" w:cs="Times New Roman"/>
        </w:rPr>
        <w:t>(2)</w:t>
      </w:r>
      <w:r>
        <w:rPr>
          <w:rFonts w:ascii="宋体" w:eastAsia="宋体" w:hAnsi="宋体" w:cs="宋体"/>
          <w:color w:val="000000"/>
          <w:sz w:val="21"/>
          <w:szCs w:val="21"/>
        </w:rPr>
        <w:t>根据实验数据</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在图乙中画出沙子和水的温度随时间变化的图象</w:t>
      </w:r>
      <w:r>
        <w:rPr>
          <w:rFonts w:ascii="Times New Roman" w:eastAsia="Times New Roman" w:hAnsi="Times New Roman" w:cs="Times New Roman"/>
          <w:color w:val="000000"/>
          <w:sz w:val="21"/>
          <w:szCs w:val="21"/>
        </w:rPr>
        <w:t>.</w:t>
      </w:r>
    </w:p>
    <w:p>
      <w:r>
        <w:rPr>
          <w:rFonts w:ascii="Times New Roman" w:hAnsi="Times New Roman" w:cs="Times New Roman"/>
        </w:rPr>
        <w:t>(3)</w:t>
      </w:r>
      <w:r>
        <w:rPr>
          <w:rFonts w:ascii="宋体" w:eastAsia="宋体" w:hAnsi="宋体" w:cs="宋体"/>
          <w:color w:val="000000"/>
          <w:sz w:val="21"/>
          <w:szCs w:val="21"/>
        </w:rPr>
        <w:t>分析图象可知</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对于质量相等的沙子和水</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吸收相等热量</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升温较快的是</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若使两者升高相同的温度</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则</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吸收的热量较多</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通过大量类似实验</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人们发现了物质的又一种物理属性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物理学将这种属性叫做</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 </w:t>
      </w:r>
    </w:p>
    <w:tbl>
      <w:tblPr>
        <w:tblStyle w:val="TableGridPHPDOC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00"/>
        <w:gridCol w:w="1000"/>
        <w:gridCol w:w="5000"/>
      </w:tblGrid>
      <w:tr>
        <w:tblPrE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评卷人</w:t>
            </w:r>
          </w:p>
        </w:tc>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得分</w:t>
            </w:r>
          </w:p>
        </w:tc>
        <w:tc>
          <w:tcPr>
            <w:tcW w:w="5000" w:type="dxa"/>
            <w:vMerge w:val="restart"/>
            <w:tcBorders>
              <w:top w:val="nil"/>
              <w:left w:val="nil"/>
              <w:bottom w:val="nil"/>
              <w:right w:val="nil"/>
            </w:tcBorders>
            <w:vAlign w:val="center"/>
          </w:tcPr>
          <w:p>
            <w:pPr>
              <w:spacing w:after="0" w:line="240" w:lineRule="auto"/>
            </w:pPr>
            <w:r>
              <w:rPr>
                <w:b/>
                <w:bCs/>
              </w:rPr>
              <w:t>六、计算题</w:t>
            </w:r>
          </w:p>
        </w:tc>
      </w:tr>
      <w:tr>
        <w:tblPrEx>
          <w:tblW w:w="7000" w:type="dxa"/>
          <w:tblInd w:w="0" w:type="dxa"/>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5000" w:type="dxa"/>
            <w:vMerge/>
            <w:tcBorders>
              <w:top w:val="nil"/>
              <w:left w:val="nil"/>
              <w:bottom w:val="nil"/>
              <w:right w:val="nil"/>
            </w:tcBorders>
            <w:vAlign w:val="center"/>
          </w:tcPr>
          <w:p>
            <w:pPr>
              <w:spacing w:after="0" w:line="240" w:lineRule="auto"/>
            </w:pPr>
          </w:p>
        </w:tc>
      </w:tr>
    </w:tbl>
    <w:p>
      <w:r>
        <w:rPr>
          <w:rFonts w:ascii="Times New Roman" w:hAnsi="Times New Roman" w:cs="Times New Roman"/>
        </w:rPr>
        <w:t xml:space="preserve">24. </w:t>
      </w:r>
      <w:r>
        <w:rPr>
          <w:rFonts w:ascii="宋体" w:eastAsia="宋体" w:hAnsi="宋体" w:cs="宋体"/>
          <w:color w:val="000000"/>
          <w:sz w:val="21"/>
          <w:szCs w:val="21"/>
        </w:rPr>
        <w:t>简易太阳能热水器的受光面积为</w:t>
      </w:r>
      <w:r>
        <w:rPr>
          <w:rFonts w:ascii="Times New Roman" w:eastAsia="Times New Roman" w:hAnsi="Times New Roman" w:cs="Times New Roman"/>
          <w:color w:val="000000"/>
          <w:sz w:val="21"/>
          <w:szCs w:val="21"/>
        </w:rPr>
        <w:t>1.4 m</w:t>
      </w:r>
      <w:r>
        <w:rPr>
          <w:rFonts w:ascii="Times New Roman" w:eastAsia="Times New Roman" w:hAnsi="Times New Roman" w:cs="Times New Roman"/>
          <w:color w:val="000000"/>
          <w:position w:val="4"/>
          <w:sz w:val="19"/>
          <w:szCs w:val="19"/>
          <w:vertAlign w:val="superscript"/>
        </w:rPr>
        <w:t>2</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内装</w:t>
      </w:r>
      <w:r>
        <w:rPr>
          <w:rFonts w:ascii="Times New Roman" w:eastAsia="Times New Roman" w:hAnsi="Times New Roman" w:cs="Times New Roman"/>
          <w:color w:val="000000"/>
          <w:sz w:val="21"/>
          <w:szCs w:val="21"/>
        </w:rPr>
        <w:t>80 kg</w:t>
      </w:r>
      <w:r>
        <w:rPr>
          <w:rFonts w:ascii="宋体" w:eastAsia="宋体" w:hAnsi="宋体" w:cs="宋体"/>
          <w:color w:val="000000"/>
          <w:sz w:val="21"/>
          <w:szCs w:val="21"/>
        </w:rPr>
        <w:t>水</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太阳每分钟辐射到</w:t>
      </w:r>
      <w:r>
        <w:rPr>
          <w:rFonts w:ascii="Times New Roman" w:eastAsia="Times New Roman" w:hAnsi="Times New Roman" w:cs="Times New Roman"/>
          <w:color w:val="000000"/>
          <w:sz w:val="21"/>
          <w:szCs w:val="21"/>
        </w:rPr>
        <w:t>1 m</w:t>
      </w:r>
      <w:r>
        <w:rPr>
          <w:rFonts w:ascii="Times New Roman" w:eastAsia="Times New Roman" w:hAnsi="Times New Roman" w:cs="Times New Roman"/>
          <w:color w:val="000000"/>
          <w:position w:val="4"/>
          <w:sz w:val="19"/>
          <w:szCs w:val="19"/>
          <w:vertAlign w:val="superscript"/>
        </w:rPr>
        <w:t>2</w:t>
      </w:r>
      <w:r>
        <w:rPr>
          <w:rFonts w:ascii="宋体" w:eastAsia="宋体" w:hAnsi="宋体" w:cs="宋体"/>
          <w:color w:val="000000"/>
          <w:sz w:val="21"/>
          <w:szCs w:val="21"/>
        </w:rPr>
        <w:t>面积上的热量是</w:t>
      </w:r>
      <w:r>
        <w:rPr>
          <w:rFonts w:ascii="Times New Roman" w:eastAsia="Times New Roman" w:hAnsi="Times New Roman" w:cs="Times New Roman"/>
          <w:color w:val="000000"/>
          <w:sz w:val="21"/>
          <w:szCs w:val="21"/>
        </w:rPr>
        <w:t>8×10</w:t>
      </w:r>
      <w:r>
        <w:rPr>
          <w:rFonts w:ascii="Times New Roman" w:eastAsia="Times New Roman" w:hAnsi="Times New Roman" w:cs="Times New Roman"/>
          <w:color w:val="000000"/>
          <w:position w:val="4"/>
          <w:sz w:val="19"/>
          <w:szCs w:val="19"/>
          <w:vertAlign w:val="superscript"/>
        </w:rPr>
        <w:t>4</w:t>
      </w:r>
      <w:r>
        <w:rPr>
          <w:rFonts w:ascii="Times New Roman" w:eastAsia="Times New Roman" w:hAnsi="Times New Roman" w:cs="Times New Roman"/>
          <w:color w:val="000000"/>
          <w:sz w:val="21"/>
          <w:szCs w:val="21"/>
        </w:rPr>
        <w:t> J,</w:t>
      </w:r>
      <w:r>
        <w:rPr>
          <w:rFonts w:ascii="宋体" w:eastAsia="宋体" w:hAnsi="宋体" w:cs="宋体"/>
          <w:color w:val="000000"/>
          <w:sz w:val="21"/>
          <w:szCs w:val="21"/>
        </w:rPr>
        <w:t>如果</w:t>
      </w:r>
      <w:r>
        <w:rPr>
          <w:rFonts w:ascii="Times New Roman" w:eastAsia="Times New Roman" w:hAnsi="Times New Roman" w:cs="Times New Roman"/>
          <w:color w:val="000000"/>
          <w:sz w:val="21"/>
          <w:szCs w:val="21"/>
        </w:rPr>
        <w:t>60%</w:t>
      </w:r>
      <w:r>
        <w:rPr>
          <w:rFonts w:ascii="宋体" w:eastAsia="宋体" w:hAnsi="宋体" w:cs="宋体"/>
          <w:color w:val="000000"/>
          <w:sz w:val="21"/>
          <w:szCs w:val="21"/>
        </w:rPr>
        <w:t>的热量被水吸收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问</w:t>
      </w:r>
      <w:r>
        <w:rPr>
          <w:rFonts w:ascii="Times New Roman" w:eastAsia="Times New Roman" w:hAnsi="Times New Roman" w:cs="Times New Roman"/>
          <w:color w:val="000000"/>
          <w:sz w:val="21"/>
          <w:szCs w:val="21"/>
        </w:rPr>
        <w:t>:20 ℃</w:t>
      </w:r>
      <w:r>
        <w:rPr>
          <w:rFonts w:ascii="宋体" w:eastAsia="宋体" w:hAnsi="宋体" w:cs="宋体"/>
          <w:color w:val="000000"/>
          <w:sz w:val="21"/>
          <w:szCs w:val="21"/>
        </w:rPr>
        <w:t>的水晒</w:t>
      </w:r>
      <w:r>
        <w:rPr>
          <w:rFonts w:ascii="Times New Roman" w:eastAsia="Times New Roman" w:hAnsi="Times New Roman" w:cs="Times New Roman"/>
          <w:color w:val="000000"/>
          <w:sz w:val="21"/>
          <w:szCs w:val="21"/>
        </w:rPr>
        <w:t>3 h</w:t>
      </w:r>
      <w:r>
        <w:rPr>
          <w:rFonts w:ascii="宋体" w:eastAsia="宋体" w:hAnsi="宋体" w:cs="宋体"/>
          <w:color w:val="000000"/>
          <w:sz w:val="21"/>
          <w:szCs w:val="21"/>
        </w:rPr>
        <w:t>后水温升高到多少摄氏度</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水的比热容是</w:t>
      </w:r>
      <w:r>
        <w:rPr>
          <w:rFonts w:ascii="Times New Roman" w:eastAsia="Times New Roman" w:hAnsi="Times New Roman" w:cs="Times New Roman"/>
          <w:color w:val="000000"/>
          <w:sz w:val="21"/>
          <w:szCs w:val="21"/>
        </w:rPr>
        <w:t>4.2×10</w:t>
      </w:r>
      <w:r>
        <w:rPr>
          <w:rFonts w:ascii="Times New Roman" w:eastAsia="Times New Roman" w:hAnsi="Times New Roman" w:cs="Times New Roman"/>
          <w:color w:val="000000"/>
          <w:position w:val="4"/>
          <w:sz w:val="19"/>
          <w:szCs w:val="19"/>
          <w:vertAlign w:val="superscript"/>
        </w:rPr>
        <w:t>3</w:t>
      </w:r>
      <w:r>
        <w:rPr>
          <w:rFonts w:ascii="Times New Roman" w:eastAsia="Times New Roman" w:hAnsi="Times New Roman" w:cs="Times New Roman"/>
          <w:color w:val="000000"/>
          <w:sz w:val="21"/>
          <w:szCs w:val="21"/>
        </w:rPr>
        <w:t> J/(kg·℃)]</w:t>
      </w:r>
    </w:p>
    <w:p>
      <w:pPr>
        <w:keepNext w:val="0"/>
        <w:keepLines w:val="0"/>
        <w:pageBreakBefore w:val="0"/>
        <w:widowControl/>
        <w:kinsoku/>
        <w:wordWrap/>
        <w:overflowPunct/>
        <w:topLinePunct w:val="0"/>
        <w:autoSpaceDE/>
        <w:autoSpaceDN/>
        <w:bidi w:val="0"/>
        <w:adjustRightInd/>
        <w:snapToGrid/>
        <w:spacing w:after="0" w:line="240" w:lineRule="atLeast"/>
        <w:jc w:val="center"/>
        <w:textAlignment w:val="auto"/>
        <w:outlineLvl w:val="9"/>
      </w:pPr>
      <w:r>
        <w:rPr>
          <w:rFonts w:ascii="宋体" w:hAnsi="宋体" w:cs="宋体"/>
          <w:b/>
          <w:bCs/>
          <w:sz w:val="21"/>
          <w:szCs w:val="21"/>
        </w:rPr>
        <w:t>参考答案</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1. 【答案】</w:t>
      </w:r>
      <w:r>
        <w:rPr>
          <w:rFonts w:ascii="Times New Roman" w:eastAsia="Times New Roman" w:hAnsi="Times New Roman" w:cs="Times New Roman"/>
          <w:color w:val="000000"/>
          <w:sz w:val="21"/>
          <w:szCs w:val="21"/>
        </w:rPr>
        <w:t>A</w:t>
      </w:r>
      <w:r>
        <w:rPr>
          <w:rFonts w:ascii="Times New Roman" w:hAnsi="Times New Roman" w:cs="Times New Roman"/>
        </w:rPr>
        <w:t>【解析】</w:t>
      </w:r>
      <w:r>
        <w:rPr>
          <w:rFonts w:ascii="宋体" w:eastAsia="宋体" w:hAnsi="宋体" w:cs="宋体"/>
          <w:color w:val="000000"/>
          <w:sz w:val="21"/>
          <w:szCs w:val="21"/>
        </w:rPr>
        <w:t>质量是物体本身的一种属性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与物体的状态无关</w:t>
      </w:r>
      <w:r>
        <w:rPr>
          <w:rFonts w:ascii="Times New Roman" w:eastAsia="Times New Roman" w:hAnsi="Times New Roman" w:cs="Times New Roman"/>
          <w:color w:val="000000"/>
          <w:sz w:val="21"/>
          <w:szCs w:val="21"/>
        </w:rPr>
        <w:t>，A</w:t>
      </w:r>
      <w:r>
        <w:rPr>
          <w:rFonts w:ascii="宋体" w:eastAsia="宋体" w:hAnsi="宋体" w:cs="宋体"/>
          <w:color w:val="000000"/>
          <w:sz w:val="21"/>
          <w:szCs w:val="21"/>
        </w:rPr>
        <w:t>对</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物质的比热容是物质的一种特性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反映了物质吸热和放热的能力</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它的大小与物质的种类及物体的状态有关</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水由液体变为固体后比热容将减小</w:t>
      </w:r>
      <w:r>
        <w:rPr>
          <w:rFonts w:ascii="Times New Roman" w:eastAsia="Times New Roman" w:hAnsi="Times New Roman" w:cs="Times New Roman"/>
          <w:color w:val="000000"/>
          <w:sz w:val="21"/>
          <w:szCs w:val="21"/>
        </w:rPr>
        <w:t>，B</w:t>
      </w:r>
      <w:r>
        <w:rPr>
          <w:rFonts w:ascii="宋体" w:eastAsia="宋体" w:hAnsi="宋体" w:cs="宋体"/>
          <w:color w:val="000000"/>
          <w:sz w:val="21"/>
          <w:szCs w:val="21"/>
        </w:rPr>
        <w:t>错</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物体的内能与温度有关</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温度越低</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内能越少</w:t>
      </w:r>
      <w:r>
        <w:rPr>
          <w:rFonts w:ascii="Times New Roman" w:eastAsia="Times New Roman" w:hAnsi="Times New Roman" w:cs="Times New Roman"/>
          <w:color w:val="000000"/>
          <w:sz w:val="21"/>
          <w:szCs w:val="21"/>
        </w:rPr>
        <w:t>，C</w:t>
      </w:r>
      <w:r>
        <w:rPr>
          <w:rFonts w:ascii="宋体" w:eastAsia="宋体" w:hAnsi="宋体" w:cs="宋体"/>
          <w:color w:val="000000"/>
          <w:sz w:val="21"/>
          <w:szCs w:val="21"/>
        </w:rPr>
        <w:t>错</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水结冰后</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体积增大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密度减小</w:t>
      </w:r>
      <w:r>
        <w:rPr>
          <w:rFonts w:ascii="Times New Roman" w:eastAsia="Times New Roman" w:hAnsi="Times New Roman" w:cs="Times New Roman"/>
          <w:color w:val="000000"/>
          <w:sz w:val="21"/>
          <w:szCs w:val="21"/>
        </w:rPr>
        <w:t>，D</w:t>
      </w:r>
      <w:r>
        <w:rPr>
          <w:rFonts w:ascii="宋体" w:eastAsia="宋体" w:hAnsi="宋体" w:cs="宋体"/>
          <w:color w:val="000000"/>
          <w:sz w:val="21"/>
          <w:szCs w:val="21"/>
        </w:rPr>
        <w:t>错</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故选</w:t>
      </w:r>
      <w:r>
        <w:rPr>
          <w:rFonts w:ascii="Times New Roman" w:eastAsia="Times New Roman" w:hAnsi="Times New Roman" w:cs="Times New Roman"/>
          <w:color w:val="000000"/>
          <w:sz w:val="21"/>
          <w:szCs w:val="21"/>
        </w:rPr>
        <w:t>A。</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2. 【答案】</w:t>
      </w:r>
      <w:r>
        <w:rPr>
          <w:rFonts w:ascii="Times New Roman" w:eastAsia="Times New Roman" w:hAnsi="Times New Roman" w:cs="Times New Roman"/>
          <w:color w:val="000000"/>
          <w:sz w:val="21"/>
          <w:szCs w:val="21"/>
        </w:rPr>
        <w:t>C</w:t>
      </w:r>
      <w:bookmarkStart w:id="0" w:name="_GoBack"/>
      <w:bookmarkEnd w:id="0"/>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3. 【答案】</w:t>
      </w:r>
      <w:r>
        <w:rPr>
          <w:rFonts w:ascii="Times New Roman" w:eastAsia="Times New Roman" w:hAnsi="Times New Roman" w:cs="Times New Roman"/>
          <w:color w:val="000000"/>
          <w:sz w:val="21"/>
          <w:szCs w:val="21"/>
        </w:rPr>
        <w:t>D</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4. 【答案】</w:t>
      </w:r>
      <w:r>
        <w:rPr>
          <w:rFonts w:ascii="Times New Roman" w:eastAsia="Times New Roman" w:hAnsi="Times New Roman" w:cs="Times New Roman"/>
          <w:color w:val="000000"/>
          <w:sz w:val="21"/>
          <w:szCs w:val="21"/>
        </w:rPr>
        <w:t>C</w:t>
      </w:r>
      <w:r>
        <w:rPr>
          <w:rFonts w:ascii="Times New Roman" w:hAnsi="Times New Roman" w:cs="Times New Roman"/>
        </w:rPr>
        <w:t>【解析】</w:t>
      </w:r>
      <w:r>
        <w:rPr>
          <w:rFonts w:ascii="宋体" w:eastAsia="宋体" w:hAnsi="宋体" w:cs="宋体"/>
          <w:color w:val="000000"/>
          <w:sz w:val="21"/>
          <w:szCs w:val="21"/>
        </w:rPr>
        <w:t>比热容是物质本身的一种特性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在状态和物质种类一定时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比热容大小与物体吸放热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温度变化大小</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质量多少都没有关系无关</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故选</w:t>
      </w:r>
      <w:r>
        <w:rPr>
          <w:rFonts w:ascii="Times New Roman" w:eastAsia="Times New Roman" w:hAnsi="Times New Roman" w:cs="Times New Roman"/>
          <w:color w:val="000000"/>
          <w:sz w:val="21"/>
          <w:szCs w:val="21"/>
        </w:rPr>
        <w:t>C。</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5. 【答案】</w:t>
      </w:r>
      <w:r>
        <w:rPr>
          <w:rFonts w:ascii="Times New Roman" w:eastAsia="Times New Roman" w:hAnsi="Times New Roman" w:cs="Times New Roman"/>
          <w:color w:val="000000"/>
          <w:sz w:val="21"/>
          <w:szCs w:val="21"/>
        </w:rPr>
        <w:t>A</w:t>
      </w:r>
      <w:r>
        <w:rPr>
          <w:rFonts w:ascii="Times New Roman" w:hAnsi="Times New Roman" w:cs="Times New Roman"/>
        </w:rPr>
        <w:t>【解析】</w:t>
      </w:r>
      <w:r>
        <w:rPr>
          <w:rFonts w:ascii="宋体" w:eastAsia="宋体" w:hAnsi="宋体" w:cs="宋体"/>
          <w:color w:val="000000"/>
          <w:sz w:val="21"/>
          <w:szCs w:val="21"/>
        </w:rPr>
        <w:t>物体的比热容越高</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吸收相同热量时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温度变化的越小</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从表中得知铝的比热容最大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选作散热片最好的材料是铝</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所以选项</w:t>
      </w:r>
      <w:r>
        <w:rPr>
          <w:rFonts w:ascii="Times New Roman" w:eastAsia="Times New Roman" w:hAnsi="Times New Roman" w:cs="Times New Roman"/>
          <w:color w:val="000000"/>
          <w:sz w:val="21"/>
          <w:szCs w:val="21"/>
        </w:rPr>
        <w:t>A</w:t>
      </w:r>
      <w:r>
        <w:rPr>
          <w:rFonts w:ascii="宋体" w:eastAsia="宋体" w:hAnsi="宋体" w:cs="宋体"/>
          <w:color w:val="000000"/>
          <w:sz w:val="21"/>
          <w:szCs w:val="21"/>
        </w:rPr>
        <w:t>正确</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6. 【答案】</w:t>
      </w:r>
      <w:r>
        <w:rPr>
          <w:rFonts w:ascii="Times New Roman" w:eastAsia="Times New Roman" w:hAnsi="Times New Roman" w:cs="Times New Roman"/>
          <w:color w:val="000000"/>
          <w:sz w:val="21"/>
          <w:szCs w:val="21"/>
        </w:rPr>
        <w:t>C　</w:t>
      </w:r>
      <w:r>
        <w:rPr>
          <w:rFonts w:ascii="Times New Roman" w:hAnsi="Times New Roman" w:cs="Times New Roman"/>
        </w:rPr>
        <w:t>【解析】</w:t>
      </w:r>
      <w:r>
        <w:rPr>
          <w:rFonts w:ascii="Times New Roman" w:eastAsia="Times New Roman" w:hAnsi="Times New Roman" w:cs="Times New Roman"/>
          <w:color w:val="000000"/>
          <w:sz w:val="21"/>
          <w:szCs w:val="21"/>
        </w:rPr>
        <w:t>A.</w:t>
      </w:r>
      <w:r>
        <w:rPr>
          <w:rFonts w:ascii="宋体" w:eastAsia="宋体" w:hAnsi="宋体" w:cs="宋体"/>
          <w:color w:val="000000"/>
          <w:sz w:val="21"/>
          <w:szCs w:val="21"/>
        </w:rPr>
        <w:t>比热容是物质的特性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一桶水的比热容和一杯水的比热容相同</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错误</w:t>
      </w:r>
      <w:r>
        <w:rPr>
          <w:rFonts w:ascii="Times New Roman" w:eastAsia="Times New Roman" w:hAnsi="Times New Roman" w:cs="Times New Roman"/>
          <w:color w:val="000000"/>
          <w:sz w:val="21"/>
          <w:szCs w:val="21"/>
        </w:rPr>
        <w:t>;B.</w:t>
      </w:r>
      <w:r>
        <w:rPr>
          <w:rFonts w:ascii="宋体" w:eastAsia="宋体" w:hAnsi="宋体" w:cs="宋体"/>
          <w:color w:val="000000"/>
          <w:sz w:val="21"/>
          <w:szCs w:val="21"/>
        </w:rPr>
        <w:t>熔化要吸收热量</w:t>
      </w:r>
      <w:r>
        <w:rPr>
          <w:rFonts w:ascii="Times New Roman" w:eastAsia="Times New Roman" w:hAnsi="Times New Roman" w:cs="Times New Roman"/>
          <w:color w:val="000000"/>
          <w:sz w:val="21"/>
          <w:szCs w:val="21"/>
        </w:rPr>
        <w:t>,-5℃</w:t>
      </w:r>
      <w:r>
        <w:rPr>
          <w:rFonts w:ascii="宋体" w:eastAsia="宋体" w:hAnsi="宋体" w:cs="宋体"/>
          <w:color w:val="000000"/>
          <w:sz w:val="21"/>
          <w:szCs w:val="21"/>
        </w:rPr>
        <w:t>的冰块温度升高到</w:t>
      </w:r>
      <w:r>
        <w:rPr>
          <w:rFonts w:ascii="Times New Roman" w:eastAsia="Times New Roman" w:hAnsi="Times New Roman" w:cs="Times New Roman"/>
          <w:color w:val="000000"/>
          <w:sz w:val="21"/>
          <w:szCs w:val="21"/>
        </w:rPr>
        <w:t>0℃</w:t>
      </w:r>
      <w:r>
        <w:rPr>
          <w:rFonts w:ascii="宋体" w:eastAsia="宋体" w:hAnsi="宋体" w:cs="宋体"/>
          <w:color w:val="000000"/>
          <w:sz w:val="21"/>
          <w:szCs w:val="21"/>
        </w:rPr>
        <w:t>后不能在</w:t>
      </w:r>
      <w:r>
        <w:rPr>
          <w:rFonts w:ascii="Times New Roman" w:eastAsia="Times New Roman" w:hAnsi="Times New Roman" w:cs="Times New Roman"/>
          <w:color w:val="000000"/>
          <w:sz w:val="21"/>
          <w:szCs w:val="21"/>
        </w:rPr>
        <w:t>0℃</w:t>
      </w:r>
      <w:r>
        <w:rPr>
          <w:rFonts w:ascii="宋体" w:eastAsia="宋体" w:hAnsi="宋体" w:cs="宋体"/>
          <w:color w:val="000000"/>
          <w:sz w:val="21"/>
          <w:szCs w:val="21"/>
        </w:rPr>
        <w:t>的冰箱内吸收热量</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因为没有温度差就没有热传递</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所以</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冰不会变成水</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错误</w:t>
      </w:r>
      <w:r>
        <w:rPr>
          <w:rFonts w:ascii="Times New Roman" w:eastAsia="Times New Roman" w:hAnsi="Times New Roman" w:cs="Times New Roman"/>
          <w:color w:val="000000"/>
          <w:sz w:val="21"/>
          <w:szCs w:val="21"/>
        </w:rPr>
        <w:t>;C.</w:t>
      </w:r>
      <w:r>
        <w:rPr>
          <w:rFonts w:ascii="宋体" w:eastAsia="宋体" w:hAnsi="宋体" w:cs="宋体"/>
          <w:color w:val="000000"/>
          <w:sz w:val="21"/>
          <w:szCs w:val="21"/>
        </w:rPr>
        <w:t>任何物体在任何温度下都有内能</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所以炽热的铁水具有内能</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冰冷的铁块也具有内能</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正确</w:t>
      </w:r>
      <w:r>
        <w:rPr>
          <w:rFonts w:ascii="Times New Roman" w:eastAsia="Times New Roman" w:hAnsi="Times New Roman" w:cs="Times New Roman"/>
          <w:color w:val="000000"/>
          <w:sz w:val="21"/>
          <w:szCs w:val="21"/>
        </w:rPr>
        <w:t>;D.</w:t>
      </w:r>
      <w:r>
        <w:rPr>
          <w:rFonts w:ascii="宋体" w:eastAsia="宋体" w:hAnsi="宋体" w:cs="宋体"/>
          <w:color w:val="000000"/>
          <w:sz w:val="21"/>
          <w:szCs w:val="21"/>
        </w:rPr>
        <w:t>用锯条锯木板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锯条的温度升高</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是由于对锯条做功</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错误</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7. 【答案】</w:t>
      </w:r>
      <w:r>
        <w:rPr>
          <w:rFonts w:ascii="Times New Roman" w:eastAsia="Times New Roman" w:hAnsi="Times New Roman" w:cs="Times New Roman"/>
          <w:color w:val="000000"/>
          <w:sz w:val="21"/>
          <w:szCs w:val="21"/>
        </w:rPr>
        <w:t>B</w:t>
      </w:r>
      <w:r>
        <w:rPr>
          <w:rFonts w:ascii="Times New Roman" w:hAnsi="Times New Roman" w:cs="Times New Roman"/>
        </w:rPr>
        <w:t>【解析】</w:t>
      </w:r>
      <w:r>
        <w:rPr>
          <w:rFonts w:ascii="宋体" w:eastAsia="宋体" w:hAnsi="宋体" w:cs="宋体"/>
          <w:color w:val="000000"/>
          <w:sz w:val="21"/>
          <w:szCs w:val="21"/>
        </w:rPr>
        <w:t>在此时实验中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采用的是控制变量法</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即除了我们要讨论的变量外</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要使其他的变量相同</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所以在实验中应采用完全相同的加热方式</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保证在相同的时间内提供相同的热量</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实验中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酒精灯里所加的酒精量对升温的快慢不会造成影响</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属多余的量</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实验中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必须取相同质量的水和煤油</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符合控制变量法的要求</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实验中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盛放水和煤油的容器也会影响其吸热与升温的情况</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故应使容器保持相同</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故有必要</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故选</w:t>
      </w:r>
      <w:r>
        <w:rPr>
          <w:rFonts w:ascii="Times New Roman" w:eastAsia="Times New Roman" w:hAnsi="Times New Roman" w:cs="Times New Roman"/>
          <w:color w:val="000000"/>
          <w:sz w:val="21"/>
          <w:szCs w:val="21"/>
        </w:rPr>
        <w:t>B。</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8. 【答案】</w:t>
      </w:r>
      <w:r>
        <w:rPr>
          <w:rFonts w:ascii="Times New Roman" w:eastAsia="Times New Roman" w:hAnsi="Times New Roman" w:cs="Times New Roman"/>
          <w:color w:val="000000"/>
          <w:sz w:val="21"/>
          <w:szCs w:val="21"/>
        </w:rPr>
        <w:t>B</w:t>
      </w:r>
      <w:r>
        <w:rPr>
          <w:rFonts w:ascii="Times New Roman" w:hAnsi="Times New Roman" w:cs="Times New Roman"/>
        </w:rPr>
        <w:t>【解析】</w:t>
      </w:r>
      <w:r>
        <w:rPr>
          <w:rFonts w:ascii="宋体" w:eastAsia="宋体" w:hAnsi="宋体" w:cs="宋体"/>
          <w:color w:val="000000"/>
          <w:sz w:val="21"/>
          <w:szCs w:val="21"/>
        </w:rPr>
        <w:t>由公式</w:t>
      </w:r>
      <w:r>
        <w:rPr>
          <w:rFonts w:ascii="Times New Roman" w:eastAsia="Times New Roman" w:hAnsi="Times New Roman" w:cs="Times New Roman"/>
          <w:i/>
          <w:iCs/>
          <w:color w:val="000000"/>
          <w:sz w:val="21"/>
          <w:szCs w:val="21"/>
        </w:rPr>
        <w:t>Q=cmΔt</w:t>
      </w:r>
      <w:r>
        <w:rPr>
          <w:rFonts w:ascii="宋体" w:eastAsia="宋体" w:hAnsi="宋体" w:cs="宋体"/>
          <w:color w:val="000000"/>
          <w:sz w:val="21"/>
          <w:szCs w:val="21"/>
        </w:rPr>
        <w:t>可知水的比热容大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相同质量的水和其他物质比较</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升高或降低的温度相同时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水吸收或放出的热量多</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吸收或放出的热量相同时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水升高或降低的温度少</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据此分析</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9. 【答案】</w:t>
      </w:r>
      <w:r>
        <w:rPr>
          <w:rFonts w:ascii="Times New Roman" w:eastAsia="Times New Roman" w:hAnsi="Times New Roman" w:cs="Times New Roman"/>
          <w:color w:val="000000"/>
          <w:sz w:val="21"/>
          <w:szCs w:val="21"/>
        </w:rPr>
        <w:t>C</w:t>
      </w:r>
      <w:r>
        <w:rPr>
          <w:rFonts w:ascii="Times New Roman" w:hAnsi="Times New Roman" w:cs="Times New Roman"/>
        </w:rPr>
        <w:t>【解析】</w:t>
      </w:r>
      <w:r>
        <w:rPr>
          <w:rFonts w:ascii="宋体" w:eastAsia="宋体" w:hAnsi="宋体" w:cs="宋体"/>
          <w:color w:val="000000"/>
          <w:sz w:val="21"/>
          <w:szCs w:val="21"/>
        </w:rPr>
        <w:t>分析题意和图象可知</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质量相同的甲物质和水</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升高相同的温度时水吸收的热量是甲物质的</w:t>
      </w:r>
      <w:r>
        <w:rPr>
          <w:rFonts w:ascii="Times New Roman" w:eastAsia="Times New Roman" w:hAnsi="Times New Roman" w:cs="Times New Roman"/>
          <w:color w:val="000000"/>
          <w:sz w:val="21"/>
          <w:szCs w:val="21"/>
        </w:rPr>
        <w:t>2</w:t>
      </w:r>
      <w:r>
        <w:rPr>
          <w:rFonts w:ascii="宋体" w:eastAsia="宋体" w:hAnsi="宋体" w:cs="宋体"/>
          <w:color w:val="000000"/>
          <w:sz w:val="21"/>
          <w:szCs w:val="21"/>
        </w:rPr>
        <w:t>倍</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根据吸热公式</w:t>
      </w:r>
      <w:r>
        <w:rPr>
          <w:rFonts w:ascii="Times New Roman" w:eastAsia="Times New Roman" w:hAnsi="Times New Roman" w:cs="Times New Roman"/>
          <w:i/>
          <w:iCs/>
          <w:color w:val="000000"/>
          <w:sz w:val="21"/>
          <w:szCs w:val="21"/>
        </w:rPr>
        <w:t>Q</w:t>
      </w:r>
      <w:r>
        <w:rPr>
          <w:rFonts w:ascii="宋体" w:eastAsia="宋体" w:hAnsi="宋体" w:cs="宋体"/>
          <w:color w:val="000000"/>
          <w:position w:val="-4"/>
          <w:sz w:val="21"/>
          <w:szCs w:val="21"/>
          <w:vertAlign w:val="subscript"/>
        </w:rPr>
        <w:t>吸</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cm</w:t>
      </w:r>
      <w:r>
        <w:rPr>
          <w:rFonts w:ascii="Times New Roman" w:eastAsia="Times New Roman" w:hAnsi="Times New Roman" w:cs="Times New Roman"/>
          <w:color w:val="000000"/>
          <w:sz w:val="21"/>
          <w:szCs w:val="21"/>
        </w:rPr>
        <w:t>Δ</w:t>
      </w:r>
      <w:r>
        <w:rPr>
          <w:rFonts w:ascii="Times New Roman" w:eastAsia="Times New Roman" w:hAnsi="Times New Roman" w:cs="Times New Roman"/>
          <w:i/>
          <w:iCs/>
          <w:color w:val="000000"/>
          <w:sz w:val="21"/>
          <w:szCs w:val="21"/>
        </w:rPr>
        <w:t>t</w:t>
      </w:r>
      <w:r>
        <w:rPr>
          <w:rFonts w:ascii="宋体" w:eastAsia="宋体" w:hAnsi="宋体" w:cs="宋体"/>
          <w:color w:val="000000"/>
          <w:sz w:val="21"/>
          <w:szCs w:val="21"/>
        </w:rPr>
        <w:t>判断水的的比热容是甲物质的</w:t>
      </w:r>
      <w:r>
        <w:rPr>
          <w:rFonts w:ascii="Times New Roman" w:eastAsia="Times New Roman" w:hAnsi="Times New Roman" w:cs="Times New Roman"/>
          <w:color w:val="000000"/>
          <w:sz w:val="21"/>
          <w:szCs w:val="21"/>
        </w:rPr>
        <w:t>2</w:t>
      </w:r>
      <w:r>
        <w:rPr>
          <w:rFonts w:ascii="宋体" w:eastAsia="宋体" w:hAnsi="宋体" w:cs="宋体"/>
          <w:color w:val="000000"/>
          <w:sz w:val="21"/>
          <w:szCs w:val="21"/>
        </w:rPr>
        <w:t>倍</w:t>
      </w:r>
      <w:r>
        <w:rPr>
          <w:rFonts w:ascii="Times New Roman" w:eastAsia="Times New Roman" w:hAnsi="Times New Roman" w:cs="Times New Roman"/>
          <w:i/>
          <w:iCs/>
          <w:color w:val="000000"/>
          <w:sz w:val="21"/>
          <w:szCs w:val="21"/>
        </w:rPr>
        <w:t>c</w:t>
      </w:r>
      <w:r>
        <w:rPr>
          <w:rFonts w:ascii="宋体" w:eastAsia="宋体" w:hAnsi="宋体" w:cs="宋体"/>
          <w:color w:val="000000"/>
          <w:position w:val="-4"/>
          <w:sz w:val="21"/>
          <w:szCs w:val="21"/>
          <w:vertAlign w:val="subscript"/>
        </w:rPr>
        <w:t>水</w:t>
      </w:r>
      <w:r>
        <w:rPr>
          <w:rFonts w:ascii="Times New Roman" w:eastAsia="Times New Roman" w:hAnsi="Times New Roman" w:cs="Times New Roman"/>
          <w:color w:val="000000"/>
          <w:sz w:val="21"/>
          <w:szCs w:val="21"/>
        </w:rPr>
        <w:t>=2</w:t>
      </w:r>
      <w:r>
        <w:rPr>
          <w:rFonts w:ascii="Times New Roman" w:eastAsia="Times New Roman" w:hAnsi="Times New Roman" w:cs="Times New Roman"/>
          <w:i/>
          <w:iCs/>
          <w:color w:val="000000"/>
          <w:sz w:val="21"/>
          <w:szCs w:val="21"/>
        </w:rPr>
        <w:t>c</w:t>
      </w:r>
      <w:r>
        <w:rPr>
          <w:rFonts w:ascii="宋体" w:eastAsia="宋体" w:hAnsi="宋体" w:cs="宋体"/>
          <w:color w:val="000000"/>
          <w:position w:val="-4"/>
          <w:sz w:val="21"/>
          <w:szCs w:val="21"/>
          <w:vertAlign w:val="subscript"/>
        </w:rPr>
        <w:t>甲</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从而得出物质甲的比热容</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由图象确定甲</w:t>
      </w:r>
      <w:r>
        <w:rPr>
          <w:rFonts w:ascii="Times New Roman" w:eastAsia="Times New Roman" w:hAnsi="Times New Roman" w:cs="Times New Roman"/>
          <w:color w:val="000000"/>
          <w:sz w:val="21"/>
          <w:szCs w:val="21"/>
        </w:rPr>
        <w:t>10 min</w:t>
      </w:r>
      <w:r>
        <w:rPr>
          <w:rFonts w:ascii="宋体" w:eastAsia="宋体" w:hAnsi="宋体" w:cs="宋体"/>
          <w:color w:val="000000"/>
          <w:sz w:val="21"/>
          <w:szCs w:val="21"/>
        </w:rPr>
        <w:t>升高的温度</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然后根据</w:t>
      </w:r>
      <w:r>
        <w:rPr>
          <w:rFonts w:ascii="Times New Roman" w:eastAsia="Times New Roman" w:hAnsi="Times New Roman" w:cs="Times New Roman"/>
          <w:i/>
          <w:iCs/>
          <w:color w:val="000000"/>
          <w:sz w:val="21"/>
          <w:szCs w:val="21"/>
        </w:rPr>
        <w:t>Q</w:t>
      </w:r>
      <w:r>
        <w:rPr>
          <w:rFonts w:ascii="宋体" w:eastAsia="宋体" w:hAnsi="宋体" w:cs="宋体"/>
          <w:color w:val="000000"/>
          <w:position w:val="-4"/>
          <w:sz w:val="21"/>
          <w:szCs w:val="21"/>
          <w:vertAlign w:val="subscript"/>
        </w:rPr>
        <w:t>吸</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cm</w:t>
      </w:r>
      <w:r>
        <w:rPr>
          <w:rFonts w:ascii="Times New Roman" w:eastAsia="Times New Roman" w:hAnsi="Times New Roman" w:cs="Times New Roman"/>
          <w:color w:val="000000"/>
          <w:sz w:val="21"/>
          <w:szCs w:val="21"/>
        </w:rPr>
        <w:t>Δ</w:t>
      </w:r>
      <w:r>
        <w:rPr>
          <w:rFonts w:ascii="Times New Roman" w:eastAsia="Times New Roman" w:hAnsi="Times New Roman" w:cs="Times New Roman"/>
          <w:i/>
          <w:iCs/>
          <w:color w:val="000000"/>
          <w:sz w:val="21"/>
          <w:szCs w:val="21"/>
        </w:rPr>
        <w:t>t</w:t>
      </w:r>
      <w:r>
        <w:rPr>
          <w:rFonts w:ascii="宋体" w:eastAsia="宋体" w:hAnsi="宋体" w:cs="宋体"/>
          <w:color w:val="000000"/>
          <w:sz w:val="21"/>
          <w:szCs w:val="21"/>
        </w:rPr>
        <w:t>求出甲物质吸收的热量</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10. 【答案】</w:t>
      </w:r>
      <w:r>
        <w:rPr>
          <w:rFonts w:ascii="Times New Roman" w:eastAsia="Times New Roman" w:hAnsi="Times New Roman" w:cs="Times New Roman"/>
          <w:color w:val="000000"/>
          <w:sz w:val="21"/>
          <w:szCs w:val="21"/>
        </w:rPr>
        <w:t>B</w:t>
      </w:r>
      <w:r>
        <w:rPr>
          <w:rFonts w:ascii="Times New Roman" w:hAnsi="Times New Roman" w:cs="Times New Roman"/>
        </w:rPr>
        <w:t>【解析】</w:t>
      </w:r>
      <w:r>
        <w:rPr>
          <w:rFonts w:ascii="宋体" w:eastAsia="宋体" w:hAnsi="宋体" w:cs="宋体"/>
          <w:color w:val="000000"/>
          <w:sz w:val="21"/>
          <w:szCs w:val="21"/>
        </w:rPr>
        <w:t>从图象中可以看出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此图象是液体的沸腾图象</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图中的</w:t>
      </w:r>
      <w:r>
        <w:rPr>
          <w:rFonts w:ascii="Times New Roman" w:eastAsia="Times New Roman" w:hAnsi="Times New Roman" w:cs="Times New Roman"/>
          <w:i/>
          <w:iCs/>
          <w:color w:val="000000"/>
          <w:sz w:val="21"/>
          <w:szCs w:val="21"/>
        </w:rPr>
        <w:t>a</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b</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c</w:t>
      </w:r>
      <w:r>
        <w:rPr>
          <w:rFonts w:ascii="宋体" w:eastAsia="宋体" w:hAnsi="宋体" w:cs="宋体"/>
          <w:color w:val="000000"/>
          <w:sz w:val="21"/>
          <w:szCs w:val="21"/>
        </w:rPr>
        <w:t>三点所对应的温度为液体沸点</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虚线与时间轴的交点对应三种液体达到沸腾时各自需要的时间</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a</w:t>
      </w:r>
      <w:r>
        <w:rPr>
          <w:rFonts w:ascii="宋体" w:eastAsia="宋体" w:hAnsi="宋体" w:cs="宋体"/>
          <w:color w:val="000000"/>
          <w:sz w:val="21"/>
          <w:szCs w:val="21"/>
        </w:rPr>
        <w:t>液体和</w:t>
      </w:r>
      <w:r>
        <w:rPr>
          <w:rFonts w:ascii="Times New Roman" w:eastAsia="Times New Roman" w:hAnsi="Times New Roman" w:cs="Times New Roman"/>
          <w:i/>
          <w:iCs/>
          <w:color w:val="000000"/>
          <w:sz w:val="21"/>
          <w:szCs w:val="21"/>
        </w:rPr>
        <w:t>b</w:t>
      </w:r>
      <w:r>
        <w:rPr>
          <w:rFonts w:ascii="宋体" w:eastAsia="宋体" w:hAnsi="宋体" w:cs="宋体"/>
          <w:color w:val="000000"/>
          <w:sz w:val="21"/>
          <w:szCs w:val="21"/>
        </w:rPr>
        <w:t>液体的沸点相同</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c</w:t>
      </w:r>
      <w:r>
        <w:rPr>
          <w:rFonts w:ascii="宋体" w:eastAsia="宋体" w:hAnsi="宋体" w:cs="宋体"/>
          <w:color w:val="000000"/>
          <w:sz w:val="21"/>
          <w:szCs w:val="21"/>
        </w:rPr>
        <w:t>液体的沸点最低</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a</w:t>
      </w:r>
      <w:r>
        <w:rPr>
          <w:rFonts w:ascii="宋体" w:eastAsia="宋体" w:hAnsi="宋体" w:cs="宋体"/>
          <w:color w:val="000000"/>
          <w:sz w:val="21"/>
          <w:szCs w:val="21"/>
        </w:rPr>
        <w:t>液体最先沸腾</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b</w:t>
      </w:r>
      <w:r>
        <w:rPr>
          <w:rFonts w:ascii="宋体" w:eastAsia="宋体" w:hAnsi="宋体" w:cs="宋体"/>
          <w:color w:val="000000"/>
          <w:sz w:val="21"/>
          <w:szCs w:val="21"/>
        </w:rPr>
        <w:t>液体其次</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c</w:t>
      </w:r>
      <w:r>
        <w:rPr>
          <w:rFonts w:ascii="宋体" w:eastAsia="宋体" w:hAnsi="宋体" w:cs="宋体"/>
          <w:color w:val="000000"/>
          <w:sz w:val="21"/>
          <w:szCs w:val="21"/>
        </w:rPr>
        <w:t>液体最后沸腾</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质量相同的不同液体</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吸收相同的热量</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温度升得快的比热容小</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不同液体的沸点也可能相同</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11. 【答案】</w:t>
      </w:r>
      <w:r>
        <w:rPr>
          <w:rFonts w:ascii="Times New Roman" w:eastAsia="Times New Roman" w:hAnsi="Times New Roman" w:cs="Times New Roman"/>
          <w:color w:val="000000"/>
          <w:sz w:val="21"/>
          <w:szCs w:val="21"/>
        </w:rPr>
        <w:t>B</w:t>
      </w:r>
      <w:r>
        <w:rPr>
          <w:rFonts w:ascii="Times New Roman" w:hAnsi="Times New Roman" w:cs="Times New Roman"/>
        </w:rPr>
        <w:t>【解析】</w:t>
      </w:r>
      <w:r>
        <w:rPr>
          <w:rFonts w:ascii="宋体" w:eastAsia="宋体" w:hAnsi="宋体" w:cs="宋体"/>
          <w:color w:val="000000"/>
          <w:sz w:val="21"/>
          <w:szCs w:val="21"/>
        </w:rPr>
        <w:t>由</w:t>
      </w:r>
      <w:r>
        <w:rPr>
          <w:rFonts w:ascii="Times New Roman" w:eastAsia="Times New Roman" w:hAnsi="Times New Roman" w:cs="Times New Roman"/>
          <w:i/>
          <w:iCs/>
          <w:color w:val="000000"/>
          <w:sz w:val="21"/>
          <w:szCs w:val="21"/>
        </w:rPr>
        <w:t>Q=cm</w:t>
      </w:r>
      <w:r>
        <w:rPr>
          <w:rFonts w:ascii="Times New Roman" w:eastAsia="Times New Roman" w:hAnsi="Times New Roman" w:cs="Times New Roman"/>
          <w:color w:val="000000"/>
          <w:sz w:val="21"/>
          <w:szCs w:val="21"/>
        </w:rPr>
        <w:t>Δ</w:t>
      </w:r>
      <w:r>
        <w:rPr>
          <w:rFonts w:ascii="Times New Roman" w:eastAsia="Times New Roman" w:hAnsi="Times New Roman" w:cs="Times New Roman"/>
          <w:i/>
          <w:iCs/>
          <w:color w:val="000000"/>
          <w:sz w:val="21"/>
          <w:szCs w:val="21"/>
        </w:rPr>
        <w:t>t</w:t>
      </w:r>
      <w:r>
        <w:rPr>
          <w:rFonts w:ascii="宋体" w:eastAsia="宋体" w:hAnsi="宋体" w:cs="宋体"/>
          <w:color w:val="000000"/>
          <w:sz w:val="21"/>
          <w:szCs w:val="21"/>
        </w:rPr>
        <w:t>可知</w:t>
      </w:r>
      <w:r>
        <w:rPr>
          <w:rFonts w:ascii="Times New Roman" w:eastAsia="Times New Roman" w:hAnsi="Times New Roman" w:cs="Times New Roman"/>
          <w:color w:val="000000"/>
          <w:sz w:val="21"/>
          <w:szCs w:val="21"/>
        </w:rPr>
        <w:t>，B</w:t>
      </w:r>
      <w:r>
        <w:rPr>
          <w:rFonts w:ascii="宋体" w:eastAsia="宋体" w:hAnsi="宋体" w:cs="宋体"/>
          <w:color w:val="000000"/>
          <w:sz w:val="21"/>
          <w:szCs w:val="21"/>
        </w:rPr>
        <w:t>正确</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12. 【答案】</w:t>
      </w:r>
      <w:r>
        <w:rPr>
          <w:rFonts w:ascii="Times New Roman" w:eastAsia="Times New Roman" w:hAnsi="Times New Roman" w:cs="Times New Roman"/>
          <w:color w:val="000000"/>
          <w:sz w:val="21"/>
          <w:szCs w:val="21"/>
        </w:rPr>
        <w:t>C</w:t>
      </w:r>
      <w:r>
        <w:rPr>
          <w:rFonts w:ascii="Times New Roman" w:hAnsi="Times New Roman" w:cs="Times New Roman"/>
        </w:rPr>
        <w:t>【解析】</w:t>
      </w:r>
      <w:r>
        <w:rPr>
          <w:rFonts w:ascii="宋体" w:eastAsia="宋体" w:hAnsi="宋体" w:cs="宋体"/>
          <w:color w:val="000000"/>
          <w:sz w:val="21"/>
          <w:szCs w:val="21"/>
        </w:rPr>
        <w:t>本题中用两个相同的电力加热器加热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所以甲</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乙在相等的时间里吸收的热量相等</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在题中甲和乙的质量相同</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初始温度相同</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从图中可以看出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甲温度升高的比乙升高的快</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加热相同时间</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甲升高的温度比乙升高的温度大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由热量计算公式</w:t>
      </w:r>
      <w:r>
        <w:rPr>
          <w:rFonts w:ascii="Times New Roman" w:eastAsia="Times New Roman" w:hAnsi="Times New Roman" w:cs="Times New Roman"/>
          <w:i/>
          <w:iCs/>
          <w:color w:val="000000"/>
          <w:sz w:val="21"/>
          <w:szCs w:val="21"/>
        </w:rPr>
        <w:t>Q=cm</w:t>
      </w:r>
      <w:r>
        <w:rPr>
          <w:rFonts w:ascii="Times New Roman" w:eastAsia="Times New Roman" w:hAnsi="Times New Roman" w:cs="Times New Roman"/>
          <w:color w:val="000000"/>
          <w:sz w:val="21"/>
          <w:szCs w:val="21"/>
        </w:rPr>
        <w:t>Δ</w:t>
      </w:r>
      <w:r>
        <w:rPr>
          <w:rFonts w:ascii="Times New Roman" w:eastAsia="Times New Roman" w:hAnsi="Times New Roman" w:cs="Times New Roman"/>
          <w:i/>
          <w:iCs/>
          <w:color w:val="000000"/>
          <w:sz w:val="21"/>
          <w:szCs w:val="21"/>
        </w:rPr>
        <w:t>t</w:t>
      </w:r>
      <w:r>
        <w:rPr>
          <w:rFonts w:ascii="宋体" w:eastAsia="宋体" w:hAnsi="宋体" w:cs="宋体"/>
          <w:color w:val="000000"/>
          <w:sz w:val="21"/>
          <w:szCs w:val="21"/>
        </w:rPr>
        <w:t>可知</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升温快的比热容小</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因此甲的比热容小</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则甲是煤油</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乙的比热容大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则乙是水</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故选</w:t>
      </w:r>
      <w:r>
        <w:rPr>
          <w:rFonts w:ascii="Times New Roman" w:eastAsia="Times New Roman" w:hAnsi="Times New Roman" w:cs="Times New Roman"/>
          <w:color w:val="000000"/>
          <w:sz w:val="21"/>
          <w:szCs w:val="21"/>
        </w:rPr>
        <w:t>C。</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rPr>
          <w:rFonts w:ascii="宋体" w:eastAsia="宋体" w:hAnsi="宋体" w:cs="宋体"/>
          <w:color w:val="000000"/>
          <w:sz w:val="21"/>
          <w:szCs w:val="21"/>
        </w:rPr>
        <w:t>解题时注意题中的隐含条件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像本题中的隐含条件就是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用相同的电加热器加热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意义是加热相同时间两物体吸收的热量相等</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13. 【答案】</w:t>
      </w:r>
      <w:r>
        <w:rPr>
          <w:rFonts w:ascii="Times New Roman" w:eastAsia="Times New Roman" w:hAnsi="Times New Roman" w:cs="Times New Roman"/>
          <w:color w:val="000000"/>
          <w:sz w:val="21"/>
          <w:szCs w:val="21"/>
        </w:rPr>
        <w:t>B</w:t>
      </w:r>
      <w:r>
        <w:rPr>
          <w:rFonts w:ascii="Times New Roman" w:hAnsi="Times New Roman" w:cs="Times New Roman"/>
        </w:rPr>
        <w:t>【解析】</w:t>
      </w:r>
      <w:r>
        <w:rPr>
          <w:rFonts w:ascii="宋体" w:eastAsia="宋体" w:hAnsi="宋体" w:cs="宋体"/>
          <w:color w:val="000000"/>
          <w:sz w:val="21"/>
          <w:szCs w:val="21"/>
        </w:rPr>
        <w:t>水和某种液体的质量相同且每分钟吸收的热量也相同</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由</w:t>
      </w:r>
      <w:r>
        <w:rPr>
          <w:rFonts w:ascii="Times New Roman" w:eastAsia="Times New Roman" w:hAnsi="Times New Roman" w:cs="Times New Roman"/>
          <w:i/>
          <w:iCs/>
          <w:color w:val="000000"/>
          <w:sz w:val="21"/>
          <w:szCs w:val="21"/>
        </w:rPr>
        <w:t>Q</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mc</w:t>
      </w:r>
      <w:r>
        <w:rPr>
          <w:rFonts w:ascii="Times New Roman" w:eastAsia="Times New Roman" w:hAnsi="Times New Roman" w:cs="Times New Roman"/>
          <w:color w:val="000000"/>
          <w:sz w:val="21"/>
          <w:szCs w:val="21"/>
        </w:rPr>
        <w:t>Δ</w:t>
      </w:r>
      <w:r>
        <w:rPr>
          <w:rFonts w:ascii="Times New Roman" w:eastAsia="Times New Roman" w:hAnsi="Times New Roman" w:cs="Times New Roman"/>
          <w:i/>
          <w:iCs/>
          <w:color w:val="000000"/>
          <w:sz w:val="21"/>
          <w:szCs w:val="21"/>
        </w:rPr>
        <w:t>t</w:t>
      </w:r>
      <w:r>
        <w:rPr>
          <w:rFonts w:ascii="宋体" w:eastAsia="宋体" w:hAnsi="宋体" w:cs="宋体"/>
          <w:color w:val="000000"/>
          <w:sz w:val="21"/>
          <w:szCs w:val="21"/>
        </w:rPr>
        <w:t>可知</w:t>
      </w:r>
      <m:oMath>
        <m:f>
          <m:num>
            <m:sSub>
              <m:e>
                <m:r>
                  <m:t>C</m:t>
                </m:r>
              </m:e>
              <m:sub>
                <m:r>
                  <m:t>水</m:t>
                </m:r>
              </m:sub>
            </m:sSub>
          </m:num>
          <m:den>
            <m:sSub>
              <m:e>
                <m:r>
                  <m:t>C</m:t>
                </m:r>
              </m:e>
              <m:sub>
                <m:r>
                  <m:t>液</m:t>
                </m:r>
              </m:sub>
            </m:sSub>
          </m:den>
        </m:f>
      </m:oMath>
      <w:r>
        <w:rPr>
          <w:rFonts w:ascii="Times New Roman" w:eastAsia="Times New Roman" w:hAnsi="Times New Roman" w:cs="Times New Roman"/>
          <w:color w:val="000000"/>
          <w:sz w:val="21"/>
          <w:szCs w:val="21"/>
        </w:rPr>
        <w:t>＝</w:t>
      </w:r>
      <m:oMath>
        <m:f>
          <m:num>
            <m:r>
              <m:t>Δ</m:t>
            </m:r>
            <m:sSub>
              <m:e>
                <m:r>
                  <m:t>t</m:t>
                </m:r>
              </m:e>
              <m:sub>
                <m:r>
                  <m:t>液</m:t>
                </m:r>
              </m:sub>
            </m:sSub>
          </m:num>
          <m:den>
            <m:r>
              <m:t>Δ</m:t>
            </m:r>
            <m:sSub>
              <m:e>
                <m:r>
                  <m:t>t</m:t>
                </m:r>
              </m:e>
              <m:sub>
                <m:r>
                  <m:t>水</m:t>
                </m:r>
              </m:sub>
            </m:sSub>
          </m:den>
        </m:f>
      </m:oMath>
      <w:r>
        <w:rPr>
          <w:rFonts w:ascii="Times New Roman" w:eastAsia="Times New Roman" w:hAnsi="Times New Roman" w:cs="Times New Roman"/>
          <w:color w:val="000000"/>
          <w:sz w:val="21"/>
          <w:szCs w:val="21"/>
        </w:rPr>
        <w:t>＝</w:t>
      </w:r>
      <m:oMath>
        <m:f>
          <m:num>
            <m:r>
              <m:t>14</m:t>
            </m:r>
          </m:num>
          <m:den>
            <m:r>
              <m:t>6</m:t>
            </m:r>
          </m:den>
        </m:f>
      </m:oMath>
      <w:r>
        <w:rPr>
          <w:rFonts w:ascii="Times New Roman" w:eastAsia="Times New Roman" w:hAnsi="Times New Roman" w:cs="Times New Roman"/>
          <w:color w:val="000000"/>
          <w:sz w:val="21"/>
          <w:szCs w:val="21"/>
        </w:rPr>
        <w:t>＝</w:t>
      </w:r>
      <m:oMath>
        <m:f>
          <m:num>
            <m:r>
              <m:t>7</m:t>
            </m:r>
          </m:num>
          <m:den>
            <m:r>
              <m:t>3</m:t>
            </m:r>
          </m:den>
        </m:f>
      </m:oMath>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C</w:t>
      </w:r>
      <w:r>
        <w:rPr>
          <w:rFonts w:ascii="宋体" w:eastAsia="宋体" w:hAnsi="宋体" w:cs="宋体"/>
          <w:color w:val="000000"/>
          <w:position w:val="-4"/>
          <w:sz w:val="21"/>
          <w:szCs w:val="21"/>
          <w:vertAlign w:val="subscript"/>
        </w:rPr>
        <w:t>液</w:t>
      </w:r>
      <w:r>
        <w:rPr>
          <w:rFonts w:ascii="Times New Roman" w:eastAsia="Times New Roman" w:hAnsi="Times New Roman" w:cs="Times New Roman"/>
          <w:color w:val="000000"/>
          <w:sz w:val="21"/>
          <w:szCs w:val="21"/>
        </w:rPr>
        <w:t>＝</w:t>
      </w:r>
      <m:oMath>
        <m:f>
          <m:num>
            <m:r>
              <m:t>3</m:t>
            </m:r>
          </m:num>
          <m:den>
            <m:r>
              <m:t>7</m:t>
            </m:r>
          </m:den>
        </m:f>
      </m:oMath>
      <w:r>
        <w:rPr>
          <w:rFonts w:ascii="Times New Roman" w:eastAsia="Times New Roman" w:hAnsi="Times New Roman" w:cs="Times New Roman"/>
          <w:i/>
          <w:iCs/>
          <w:color w:val="000000"/>
          <w:sz w:val="21"/>
          <w:szCs w:val="21"/>
        </w:rPr>
        <w:t>C</w:t>
      </w:r>
      <w:r>
        <w:rPr>
          <w:rFonts w:ascii="宋体" w:eastAsia="宋体" w:hAnsi="宋体" w:cs="宋体"/>
          <w:color w:val="000000"/>
          <w:position w:val="-4"/>
          <w:sz w:val="21"/>
          <w:szCs w:val="21"/>
          <w:vertAlign w:val="subscript"/>
        </w:rPr>
        <w:t>水</w:t>
      </w:r>
      <w:r>
        <w:rPr>
          <w:rFonts w:ascii="Times New Roman" w:eastAsia="Times New Roman" w:hAnsi="Times New Roman" w:cs="Times New Roman"/>
          <w:color w:val="000000"/>
          <w:sz w:val="21"/>
          <w:szCs w:val="21"/>
        </w:rPr>
        <w:t>＝</w:t>
      </w:r>
      <m:oMath>
        <m:f>
          <m:num>
            <m:r>
              <m:t>3</m:t>
            </m:r>
          </m:num>
          <m:den>
            <m:r>
              <m:t>7</m:t>
            </m:r>
          </m:den>
        </m:f>
      </m:oMath>
      <w:r>
        <w:rPr>
          <w:rFonts w:ascii="Times New Roman" w:eastAsia="Times New Roman" w:hAnsi="Times New Roman" w:cs="Times New Roman"/>
          <w:color w:val="000000"/>
          <w:sz w:val="21"/>
          <w:szCs w:val="21"/>
        </w:rPr>
        <w:t>×4.2×10</w:t>
      </w:r>
      <w:r>
        <w:rPr>
          <w:rFonts w:ascii="Times New Roman" w:eastAsia="Times New Roman" w:hAnsi="Times New Roman" w:cs="Times New Roman"/>
          <w:color w:val="000000"/>
          <w:position w:val="4"/>
          <w:sz w:val="19"/>
          <w:szCs w:val="19"/>
          <w:vertAlign w:val="superscript"/>
        </w:rPr>
        <w:t>3</w:t>
      </w:r>
      <w:r>
        <w:rPr>
          <w:rFonts w:ascii="Times New Roman" w:eastAsia="Times New Roman" w:hAnsi="Times New Roman" w:cs="Times New Roman"/>
          <w:color w:val="000000"/>
          <w:sz w:val="21"/>
          <w:szCs w:val="21"/>
        </w:rPr>
        <w:t>＝1.8×10</w:t>
      </w:r>
      <w:r>
        <w:rPr>
          <w:rFonts w:ascii="Times New Roman" w:eastAsia="Times New Roman" w:hAnsi="Times New Roman" w:cs="Times New Roman"/>
          <w:color w:val="000000"/>
          <w:position w:val="4"/>
          <w:sz w:val="19"/>
          <w:szCs w:val="19"/>
          <w:vertAlign w:val="superscript"/>
        </w:rPr>
        <w:t>3</w:t>
      </w:r>
      <w:r>
        <w:rPr>
          <w:rFonts w:ascii="Times New Roman" w:eastAsia="Times New Roman" w:hAnsi="Times New Roman" w:cs="Times New Roman"/>
          <w:color w:val="000000"/>
          <w:sz w:val="21"/>
          <w:szCs w:val="21"/>
        </w:rPr>
        <w:t>J/(kg·℃)。</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14. 【答案】</w:t>
      </w:r>
      <w:r>
        <w:rPr>
          <w:rFonts w:ascii="Times New Roman" w:eastAsia="Times New Roman" w:hAnsi="Times New Roman" w:cs="Times New Roman"/>
          <w:color w:val="000000"/>
          <w:sz w:val="21"/>
          <w:szCs w:val="21"/>
        </w:rPr>
        <w:t>C</w:t>
      </w:r>
      <w:r>
        <w:rPr>
          <w:rFonts w:ascii="Times New Roman" w:hAnsi="Times New Roman" w:cs="Times New Roman"/>
        </w:rPr>
        <w:t>【解析】</w:t>
      </w:r>
      <w:r>
        <w:rPr>
          <w:rFonts w:ascii="宋体" w:eastAsia="宋体" w:hAnsi="宋体" w:cs="宋体"/>
          <w:color w:val="000000"/>
          <w:sz w:val="21"/>
          <w:szCs w:val="21"/>
        </w:rPr>
        <w:t>由</w:t>
      </w:r>
      <w:r>
        <w:rPr>
          <w:rFonts w:ascii="Times New Roman" w:eastAsia="Times New Roman" w:hAnsi="Times New Roman" w:cs="Times New Roman"/>
          <w:i/>
          <w:iCs/>
          <w:color w:val="000000"/>
          <w:sz w:val="21"/>
          <w:szCs w:val="21"/>
        </w:rPr>
        <w:t>Q=cm</w:t>
      </w:r>
      <w:r>
        <w:rPr>
          <w:rFonts w:ascii="Times New Roman" w:eastAsia="Times New Roman" w:hAnsi="Times New Roman" w:cs="Times New Roman"/>
          <w:color w:val="000000"/>
          <w:sz w:val="21"/>
          <w:szCs w:val="21"/>
        </w:rPr>
        <w:t>Δ</w:t>
      </w:r>
      <w:r>
        <w:rPr>
          <w:rFonts w:ascii="Times New Roman" w:eastAsia="Times New Roman" w:hAnsi="Times New Roman" w:cs="Times New Roman"/>
          <w:i/>
          <w:iCs/>
          <w:color w:val="000000"/>
          <w:sz w:val="21"/>
          <w:szCs w:val="21"/>
        </w:rPr>
        <w:t>t</w:t>
      </w:r>
      <w:r>
        <w:rPr>
          <w:rFonts w:ascii="宋体" w:eastAsia="宋体" w:hAnsi="宋体" w:cs="宋体"/>
          <w:color w:val="000000"/>
          <w:sz w:val="21"/>
          <w:szCs w:val="21"/>
        </w:rPr>
        <w:t>可知</w:t>
      </w:r>
      <w:r>
        <w:rPr>
          <w:rFonts w:ascii="Times New Roman" w:eastAsia="Times New Roman" w:hAnsi="Times New Roman" w:cs="Times New Roman"/>
          <w:color w:val="000000"/>
          <w:sz w:val="21"/>
          <w:szCs w:val="21"/>
        </w:rPr>
        <w:t>，C</w:t>
      </w:r>
      <w:r>
        <w:rPr>
          <w:rFonts w:ascii="宋体" w:eastAsia="宋体" w:hAnsi="宋体" w:cs="宋体"/>
          <w:color w:val="000000"/>
          <w:sz w:val="21"/>
          <w:szCs w:val="21"/>
        </w:rPr>
        <w:t>正确</w:t>
      </w:r>
      <w:r>
        <w:rPr>
          <w:rFonts w:ascii="Times New Roman" w:eastAsia="Times New Roman" w:hAnsi="Times New Roman" w:cs="Times New Roman"/>
          <w:i/>
          <w:iCs/>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15. 【答案】</w:t>
      </w:r>
      <w:r>
        <w:rPr>
          <w:rFonts w:ascii="宋体" w:eastAsia="宋体" w:hAnsi="宋体" w:cs="宋体"/>
          <w:color w:val="000000"/>
          <w:sz w:val="21"/>
          <w:szCs w:val="21"/>
        </w:rPr>
        <w:t>比热容</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热传递</w:t>
      </w:r>
      <w:r>
        <w:rPr>
          <w:color w:val="000000"/>
          <w:sz w:val="24"/>
          <w:szCs w:val="24"/>
        </w:rPr>
        <w:br/>
      </w:r>
      <w:r>
        <w:rPr>
          <w:rFonts w:ascii="Times New Roman" w:hAnsi="Times New Roman" w:cs="Times New Roman"/>
        </w:rPr>
        <w:t>16. 【答案】</w:t>
      </w:r>
      <w:r>
        <w:rPr>
          <w:rFonts w:ascii="宋体" w:eastAsia="宋体" w:hAnsi="宋体" w:cs="宋体"/>
          <w:color w:val="000000"/>
          <w:sz w:val="21"/>
          <w:szCs w:val="21"/>
        </w:rPr>
        <w:t>热传递</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比热容大</w:t>
      </w:r>
      <w:r>
        <w:rPr>
          <w:color w:val="000000"/>
          <w:sz w:val="24"/>
          <w:szCs w:val="24"/>
        </w:rPr>
        <w:br/>
      </w:r>
      <w:r>
        <w:rPr>
          <w:rFonts w:ascii="Times New Roman" w:hAnsi="Times New Roman" w:cs="Times New Roman"/>
        </w:rPr>
        <w:t>17. 【答案】</w:t>
      </w:r>
      <w:r>
        <w:rPr>
          <w:rFonts w:ascii="宋体" w:eastAsia="宋体" w:hAnsi="宋体" w:cs="宋体"/>
          <w:color w:val="000000"/>
          <w:sz w:val="21"/>
          <w:szCs w:val="21"/>
        </w:rPr>
        <w:t>冰和水的比热容不同</w:t>
      </w:r>
      <w:r>
        <w:rPr>
          <w:rFonts w:ascii="Times New Roman" w:eastAsia="Times New Roman" w:hAnsi="Times New Roman" w:cs="Times New Roman"/>
          <w:color w:val="000000"/>
          <w:sz w:val="21"/>
          <w:szCs w:val="21"/>
        </w:rPr>
        <w:t>;8.4×10</w:t>
      </w:r>
      <w:r>
        <w:rPr>
          <w:rFonts w:ascii="Times New Roman" w:eastAsia="Times New Roman" w:hAnsi="Times New Roman" w:cs="Times New Roman"/>
          <w:color w:val="000000"/>
          <w:position w:val="4"/>
          <w:sz w:val="19"/>
          <w:szCs w:val="19"/>
          <w:vertAlign w:val="superscript"/>
        </w:rPr>
        <w:t>3</w:t>
      </w:r>
      <w:r>
        <w:rPr>
          <w:color w:val="000000"/>
          <w:sz w:val="24"/>
          <w:szCs w:val="24"/>
        </w:rPr>
        <w:br/>
      </w:r>
      <w:r>
        <w:rPr>
          <w:rFonts w:ascii="Times New Roman" w:hAnsi="Times New Roman" w:cs="Times New Roman"/>
        </w:rPr>
        <w:t>18. 【答案】</w:t>
      </w:r>
      <w:r>
        <w:rPr>
          <w:rFonts w:ascii="宋体" w:eastAsia="宋体" w:hAnsi="宋体" w:cs="宋体"/>
          <w:color w:val="000000"/>
          <w:sz w:val="21"/>
          <w:szCs w:val="21"/>
        </w:rPr>
        <w:t>比热容</w:t>
      </w:r>
      <w:r>
        <w:rPr>
          <w:rFonts w:ascii="Times New Roman" w:eastAsia="Times New Roman" w:hAnsi="Times New Roman" w:cs="Times New Roman"/>
          <w:color w:val="000000"/>
          <w:sz w:val="21"/>
          <w:szCs w:val="21"/>
        </w:rPr>
        <w:t>　4 000 kg</w:t>
      </w:r>
      <w:r>
        <w:rPr>
          <w:color w:val="000000"/>
          <w:sz w:val="24"/>
          <w:szCs w:val="24"/>
        </w:rPr>
        <w:br/>
      </w:r>
      <w:r>
        <w:rPr>
          <w:rFonts w:ascii="Times New Roman" w:hAnsi="Times New Roman" w:cs="Times New Roman"/>
        </w:rPr>
        <w:t>19. 【答案】</w:t>
      </w:r>
      <w:r>
        <w:rPr>
          <w:rFonts w:ascii="宋体" w:eastAsia="宋体" w:hAnsi="宋体" w:cs="宋体"/>
          <w:color w:val="000000"/>
          <w:sz w:val="21"/>
          <w:szCs w:val="21"/>
        </w:rPr>
        <w:t>乙</w:t>
      </w:r>
      <w:r>
        <w:rPr>
          <w:rFonts w:ascii="Times New Roman" w:eastAsia="Times New Roman" w:hAnsi="Times New Roman" w:cs="Times New Roman"/>
          <w:i/>
          <w:iCs/>
          <w:color w:val="000000"/>
          <w:sz w:val="21"/>
          <w:szCs w:val="21"/>
        </w:rPr>
        <w:t>　&lt;　</w:t>
      </w:r>
      <w:r>
        <w:rPr>
          <w:rFonts w:ascii="宋体" w:eastAsia="宋体" w:hAnsi="宋体" w:cs="宋体"/>
          <w:color w:val="000000"/>
          <w:sz w:val="21"/>
          <w:szCs w:val="21"/>
        </w:rPr>
        <w:t>冰</w:t>
      </w:r>
      <w:r>
        <w:rPr>
          <w:color w:val="000000"/>
          <w:sz w:val="24"/>
          <w:szCs w:val="24"/>
        </w:rPr>
        <w:br/>
      </w:r>
      <w:r>
        <w:rPr>
          <w:rFonts w:ascii="Times New Roman" w:hAnsi="Times New Roman" w:cs="Times New Roman"/>
        </w:rPr>
        <w:t>20. 【答案】</w:t>
      </w:r>
      <w:r>
        <w:rPr>
          <w:rFonts w:ascii="Times New Roman" w:eastAsia="Times New Roman" w:hAnsi="Times New Roman" w:cs="Times New Roman"/>
          <w:color w:val="000000"/>
          <w:sz w:val="21"/>
          <w:szCs w:val="21"/>
        </w:rPr>
        <w:t>(1)</w:t>
      </w:r>
      <w:r>
        <w:rPr>
          <w:rFonts w:ascii="宋体" w:eastAsia="宋体" w:hAnsi="宋体" w:cs="宋体"/>
          <w:color w:val="000000"/>
          <w:sz w:val="21"/>
          <w:szCs w:val="21"/>
        </w:rPr>
        <w:t>比热容是物质的一种特性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每种物质都有自己的比热容</w:t>
      </w:r>
      <w:r>
        <w:rPr>
          <w:rFonts w:ascii="Times New Roman" w:eastAsia="Times New Roman" w:hAnsi="Times New Roman" w:cs="Times New Roman"/>
          <w:color w:val="000000"/>
          <w:sz w:val="21"/>
          <w:szCs w:val="21"/>
        </w:rPr>
        <w:t>；(2)</w:t>
      </w:r>
      <w:r>
        <w:rPr>
          <w:rFonts w:ascii="宋体" w:eastAsia="宋体" w:hAnsi="宋体" w:cs="宋体"/>
          <w:color w:val="000000"/>
          <w:sz w:val="21"/>
          <w:szCs w:val="21"/>
        </w:rPr>
        <w:t>物质的比热容与物质的状态有关</w:t>
      </w:r>
      <w:r>
        <w:rPr>
          <w:rFonts w:ascii="Times New Roman" w:eastAsia="Times New Roman" w:hAnsi="Times New Roman" w:cs="Times New Roman"/>
          <w:color w:val="000000"/>
          <w:sz w:val="21"/>
          <w:szCs w:val="21"/>
        </w:rPr>
        <w:t>；(3)</w:t>
      </w:r>
      <w:r>
        <w:rPr>
          <w:rFonts w:ascii="宋体" w:eastAsia="宋体" w:hAnsi="宋体" w:cs="宋体"/>
          <w:color w:val="000000"/>
          <w:sz w:val="21"/>
          <w:szCs w:val="21"/>
        </w:rPr>
        <w:t>水的比热容最大</w:t>
      </w:r>
      <w:r>
        <w:rPr>
          <w:rFonts w:ascii="Times New Roman" w:eastAsia="Times New Roman" w:hAnsi="Times New Roman" w:cs="Times New Roman"/>
          <w:color w:val="000000"/>
          <w:sz w:val="21"/>
          <w:szCs w:val="21"/>
        </w:rPr>
        <w:t>；(4)</w:t>
      </w:r>
      <w:r>
        <w:rPr>
          <w:rFonts w:ascii="宋体" w:eastAsia="宋体" w:hAnsi="宋体" w:cs="宋体"/>
          <w:color w:val="000000"/>
          <w:sz w:val="21"/>
          <w:szCs w:val="21"/>
        </w:rPr>
        <w:t>有些不同的物质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比热容相同</w:t>
      </w:r>
      <w:r>
        <w:rPr>
          <w:rFonts w:ascii="Times New Roman" w:eastAsia="Times New Roman" w:hAnsi="Times New Roman" w:cs="Times New Roman"/>
          <w:color w:val="000000"/>
          <w:sz w:val="21"/>
          <w:szCs w:val="21"/>
        </w:rPr>
        <w:t>；(5)</w:t>
      </w:r>
      <w:r>
        <w:rPr>
          <w:rFonts w:ascii="宋体" w:eastAsia="宋体" w:hAnsi="宋体" w:cs="宋体"/>
          <w:color w:val="000000"/>
          <w:sz w:val="21"/>
          <w:szCs w:val="21"/>
        </w:rPr>
        <w:t>非金属的比热容一般比金属的比热容大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任选</w:t>
      </w:r>
      <w:r>
        <w:rPr>
          <w:rFonts w:ascii="Times New Roman" w:eastAsia="Times New Roman" w:hAnsi="Times New Roman" w:cs="Times New Roman"/>
          <w:color w:val="000000"/>
          <w:sz w:val="21"/>
          <w:szCs w:val="21"/>
        </w:rPr>
        <w:t>3</w:t>
      </w:r>
      <w:r>
        <w:rPr>
          <w:rFonts w:ascii="宋体" w:eastAsia="宋体" w:hAnsi="宋体" w:cs="宋体"/>
          <w:color w:val="000000"/>
          <w:sz w:val="21"/>
          <w:szCs w:val="21"/>
        </w:rPr>
        <w:t>条</w:t>
      </w:r>
      <w:r>
        <w:rPr>
          <w:rFonts w:ascii="Times New Roman" w:eastAsia="Times New Roman" w:hAnsi="Times New Roman" w:cs="Times New Roman"/>
          <w:color w:val="000000"/>
          <w:sz w:val="21"/>
          <w:szCs w:val="21"/>
        </w:rPr>
        <w:t>)</w:t>
      </w:r>
      <w:r>
        <w:rPr>
          <w:color w:val="000000"/>
          <w:sz w:val="24"/>
          <w:szCs w:val="24"/>
        </w:rPr>
        <w:br/>
      </w:r>
      <w:r>
        <w:rPr>
          <w:rFonts w:ascii="Times New Roman" w:hAnsi="Times New Roman" w:cs="Times New Roman"/>
        </w:rPr>
        <w:t>21. 【答案】</w:t>
      </w:r>
      <w:r>
        <w:rPr>
          <w:rFonts w:ascii="宋体" w:eastAsia="宋体" w:hAnsi="宋体" w:cs="宋体"/>
          <w:color w:val="000000"/>
          <w:sz w:val="21"/>
          <w:szCs w:val="21"/>
        </w:rPr>
        <w:t>因为水的比热容比泥土</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沙石的比热容大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白天</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太阳照射下海岸和海水吸收相同的热量</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海水温度上升慢</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海岸吸热后</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温度上升快</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热空气上升</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风从海洋吹向陆地</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形成海风</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而夜晚</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海岸和海水放出相同的热量</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但水的比热容大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海水温度降低得少</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海面气温较高</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空气上升</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风就从陆地吹向海上</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形成陆风</w:t>
      </w:r>
      <w:r>
        <w:rPr>
          <w:rFonts w:ascii="Times New Roman" w:eastAsia="Times New Roman" w:hAnsi="Times New Roman" w:cs="Times New Roman"/>
          <w:color w:val="000000"/>
          <w:sz w:val="21"/>
          <w:szCs w:val="21"/>
        </w:rPr>
        <w:t>.</w:t>
      </w:r>
      <w:r>
        <w:rPr>
          <w:color w:val="000000"/>
          <w:sz w:val="24"/>
          <w:szCs w:val="24"/>
        </w:rPr>
        <w:br/>
      </w:r>
      <w:r>
        <w:rPr>
          <w:rFonts w:ascii="Times New Roman" w:hAnsi="Times New Roman" w:cs="Times New Roman"/>
        </w:rPr>
        <w:t>22.(1)  【答案】</w:t>
      </w:r>
      <w:r>
        <w:rPr>
          <w:rFonts w:ascii="Times New Roman" w:eastAsia="Times New Roman" w:hAnsi="Times New Roman" w:cs="Times New Roman"/>
          <w:color w:val="000000"/>
          <w:sz w:val="21"/>
          <w:szCs w:val="21"/>
        </w:rPr>
        <w:t>18</w:t>
      </w:r>
      <w:r>
        <w:rPr>
          <w:color w:val="000000"/>
          <w:sz w:val="24"/>
          <w:szCs w:val="24"/>
        </w:rPr>
        <w:br/>
      </w:r>
      <w:r>
        <w:rPr>
          <w:color w:val="000000"/>
          <w:sz w:val="24"/>
          <w:szCs w:val="24"/>
        </w:rPr>
        <w:t> </w:t>
      </w:r>
      <w:r>
        <w:rPr>
          <w:rFonts w:ascii="Times New Roman" w:hAnsi="Times New Roman" w:cs="Times New Roman"/>
        </w:rPr>
        <w:t>(2)  【答案】</w:t>
      </w:r>
      <w:r>
        <w:rPr>
          <w:rFonts w:ascii="宋体" w:eastAsia="宋体" w:hAnsi="宋体" w:cs="宋体"/>
          <w:color w:val="000000"/>
          <w:sz w:val="21"/>
          <w:szCs w:val="21"/>
        </w:rPr>
        <w:t>吸收的热量</w:t>
      </w:r>
      <w:r>
        <w:rPr>
          <w:color w:val="000000"/>
          <w:sz w:val="24"/>
          <w:szCs w:val="24"/>
        </w:rPr>
        <w:br/>
      </w:r>
      <w:r>
        <w:rPr>
          <w:color w:val="000000"/>
          <w:sz w:val="24"/>
          <w:szCs w:val="24"/>
        </w:rPr>
        <w:t> </w:t>
      </w:r>
      <w:r>
        <w:rPr>
          <w:rFonts w:ascii="Times New Roman" w:hAnsi="Times New Roman" w:cs="Times New Roman"/>
        </w:rPr>
        <w:t>(3)  【答案】</w:t>
      </w:r>
      <w:r>
        <w:rPr>
          <w:rFonts w:ascii="宋体" w:eastAsia="宋体" w:hAnsi="宋体" w:cs="宋体"/>
          <w:color w:val="000000"/>
          <w:sz w:val="21"/>
          <w:szCs w:val="21"/>
        </w:rPr>
        <w:t>图象如图</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1688465" cy="1490345"/>
            <wp:effectExtent l="0" t="0" r="0" b="0"/>
            <wp:docPr id="499350500" name="0 Imagen" descr="images/aa882738-7b77-4ed1-a231-c86ee2b5439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350500" name="0 Imagen" descr="images/aa882738-7b77-4ed1-a231-c86ee2b5439d.jpeg"/>
                    <pic:cNvPicPr>
                      <a:picLocks noChangeAspect="1"/>
                    </pic:cNvPicPr>
                  </pic:nvPicPr>
                  <pic:blipFill>
                    <a:blip xmlns:r="http://schemas.openxmlformats.org/officeDocument/2006/relationships" r:embed="rId17" cstate="print"/>
                    <a:stretch>
                      <a:fillRect/>
                    </a:stretch>
                  </pic:blipFill>
                  <pic:spPr>
                    <a:xfrm>
                      <a:off x="0" y="0"/>
                      <a:ext cx="1688592" cy="1490472"/>
                    </a:xfrm>
                    <a:prstGeom prst="rect">
                      <a:avLst/>
                    </a:prstGeom>
                  </pic:spPr>
                </pic:pic>
              </a:graphicData>
            </a:graphic>
          </wp:inline>
        </w:drawing>
      </w:r>
      <w:r>
        <w:rPr>
          <w:color w:val="000000"/>
          <w:sz w:val="24"/>
          <w:szCs w:val="24"/>
        </w:rPr>
        <w:br/>
      </w:r>
      <w:r>
        <w:rPr>
          <w:color w:val="000000"/>
          <w:sz w:val="24"/>
          <w:szCs w:val="24"/>
        </w:rPr>
        <w:t> </w:t>
      </w:r>
      <w:r>
        <w:rPr>
          <w:rFonts w:ascii="Times New Roman" w:hAnsi="Times New Roman" w:cs="Times New Roman"/>
        </w:rPr>
        <w:t>(4)  【答案】</w:t>
      </w:r>
      <w:r>
        <w:rPr>
          <w:rFonts w:ascii="宋体" w:eastAsia="宋体" w:hAnsi="宋体" w:cs="宋体"/>
          <w:color w:val="000000"/>
          <w:sz w:val="21"/>
          <w:szCs w:val="21"/>
        </w:rPr>
        <w:t>子受热不均匀</w:t>
      </w:r>
      <w:r>
        <w:rPr>
          <w:color w:val="000000"/>
          <w:sz w:val="24"/>
          <w:szCs w:val="24"/>
        </w:rPr>
        <w:br/>
      </w:r>
      <w:r>
        <w:rPr>
          <w:color w:val="000000"/>
          <w:sz w:val="24"/>
          <w:szCs w:val="24"/>
        </w:rPr>
        <w:t> </w:t>
      </w:r>
      <w:r>
        <w:rPr>
          <w:rFonts w:ascii="Times New Roman" w:hAnsi="Times New Roman" w:cs="Times New Roman"/>
        </w:rPr>
        <w:t>(5)  【答案】</w:t>
      </w:r>
      <w:r>
        <w:rPr>
          <w:rFonts w:ascii="宋体" w:eastAsia="宋体" w:hAnsi="宋体" w:cs="宋体"/>
          <w:color w:val="000000"/>
          <w:sz w:val="21"/>
          <w:szCs w:val="21"/>
        </w:rPr>
        <w:t>质量</w:t>
      </w:r>
      <w:r>
        <w:rPr>
          <w:color w:val="000000"/>
          <w:sz w:val="24"/>
          <w:szCs w:val="24"/>
        </w:rPr>
        <w:br/>
      </w:r>
      <w:r>
        <w:rPr>
          <w:color w:val="000000"/>
          <w:sz w:val="24"/>
          <w:szCs w:val="24"/>
        </w:rPr>
        <w:t> </w:t>
      </w:r>
      <w:r>
        <w:rPr>
          <w:rFonts w:ascii="Times New Roman" w:hAnsi="Times New Roman" w:cs="Times New Roman"/>
        </w:rPr>
        <w:t>【解析】</w:t>
      </w:r>
      <w:r>
        <w:rPr>
          <w:rFonts w:ascii="宋体" w:eastAsia="宋体" w:hAnsi="宋体" w:cs="宋体"/>
          <w:color w:val="000000"/>
          <w:sz w:val="21"/>
          <w:szCs w:val="21"/>
        </w:rPr>
        <w:t>使用温度计测量液体温度时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要弄清楚温度计的量程和分度值</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读数时视线与液柱最高处所对刻度相平齐</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并注意区分温度是零上还是零下</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为了使水和沙子在相同时间吸收相同的热量</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实验中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要用两个相同的酒精灯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分别给水和沙子加热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在沙子加热过程中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如果沙子受热不均匀</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会导致沙子的温度变化不均匀</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根据</w:t>
      </w:r>
      <w:r>
        <w:rPr>
          <w:rFonts w:ascii="Times New Roman" w:eastAsia="Times New Roman" w:hAnsi="Times New Roman" w:cs="Times New Roman"/>
          <w:i/>
          <w:iCs/>
          <w:color w:val="000000"/>
          <w:sz w:val="21"/>
          <w:szCs w:val="21"/>
        </w:rPr>
        <w:t>Q=cmΔt</w:t>
      </w:r>
      <w:r>
        <w:rPr>
          <w:rFonts w:ascii="宋体" w:eastAsia="宋体" w:hAnsi="宋体" w:cs="宋体"/>
          <w:color w:val="000000"/>
          <w:sz w:val="21"/>
          <w:szCs w:val="21"/>
        </w:rPr>
        <w:t>可知</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Q=kΔt</w:t>
      </w:r>
      <w:r>
        <w:rPr>
          <w:rFonts w:ascii="宋体" w:eastAsia="宋体" w:hAnsi="宋体" w:cs="宋体"/>
          <w:color w:val="000000"/>
          <w:sz w:val="21"/>
          <w:szCs w:val="21"/>
        </w:rPr>
        <w:t>中的</w:t>
      </w:r>
      <w:r>
        <w:rPr>
          <w:rFonts w:ascii="Times New Roman" w:eastAsia="Times New Roman" w:hAnsi="Times New Roman" w:cs="Times New Roman"/>
          <w:i/>
          <w:iCs/>
          <w:color w:val="000000"/>
          <w:sz w:val="21"/>
          <w:szCs w:val="21"/>
        </w:rPr>
        <w:t>k=cm</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则有</w:t>
      </w:r>
      <w:r>
        <w:rPr>
          <w:rFonts w:ascii="Times New Roman" w:eastAsia="Times New Roman" w:hAnsi="Times New Roman" w:cs="Times New Roman"/>
          <w:i/>
          <w:iCs/>
          <w:color w:val="000000"/>
          <w:sz w:val="21"/>
          <w:szCs w:val="21"/>
        </w:rPr>
        <w:t>k</w:t>
      </w:r>
      <w:r>
        <w:rPr>
          <w:rFonts w:ascii="Times New Roman" w:eastAsia="Times New Roman" w:hAnsi="Times New Roman" w:cs="Times New Roman"/>
          <w:color w:val="000000"/>
          <w:position w:val="-4"/>
          <w:sz w:val="19"/>
          <w:szCs w:val="19"/>
          <w:vertAlign w:val="subscript"/>
        </w:rPr>
        <w:t>1</w:t>
      </w:r>
      <w:r>
        <w:rPr>
          <w:rFonts w:ascii="Times New Roman" w:eastAsia="Times New Roman" w:hAnsi="Times New Roman" w:cs="Times New Roman"/>
          <w:i/>
          <w:iCs/>
          <w:color w:val="000000"/>
          <w:sz w:val="21"/>
          <w:szCs w:val="21"/>
        </w:rPr>
        <w:t>=cm</w:t>
      </w:r>
      <w:r>
        <w:rPr>
          <w:rFonts w:ascii="Times New Roman" w:eastAsia="Times New Roman" w:hAnsi="Times New Roman" w:cs="Times New Roman"/>
          <w:color w:val="000000"/>
          <w:position w:val="-4"/>
          <w:sz w:val="19"/>
          <w:szCs w:val="19"/>
          <w:vertAlign w:val="subscript"/>
        </w:rPr>
        <w:t>1</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k</w:t>
      </w:r>
      <w:r>
        <w:rPr>
          <w:rFonts w:ascii="Times New Roman" w:eastAsia="Times New Roman" w:hAnsi="Times New Roman" w:cs="Times New Roman"/>
          <w:color w:val="000000"/>
          <w:position w:val="-4"/>
          <w:sz w:val="19"/>
          <w:szCs w:val="19"/>
          <w:vertAlign w:val="subscript"/>
        </w:rPr>
        <w:t>2</w:t>
      </w:r>
      <w:r>
        <w:rPr>
          <w:rFonts w:ascii="Times New Roman" w:eastAsia="Times New Roman" w:hAnsi="Times New Roman" w:cs="Times New Roman"/>
          <w:i/>
          <w:iCs/>
          <w:color w:val="000000"/>
          <w:sz w:val="21"/>
          <w:szCs w:val="21"/>
        </w:rPr>
        <w:t>=cm</w:t>
      </w:r>
      <w:r>
        <w:rPr>
          <w:rFonts w:ascii="Times New Roman" w:eastAsia="Times New Roman" w:hAnsi="Times New Roman" w:cs="Times New Roman"/>
          <w:color w:val="000000"/>
          <w:position w:val="-4"/>
          <w:sz w:val="19"/>
          <w:szCs w:val="19"/>
          <w:vertAlign w:val="subscript"/>
        </w:rPr>
        <w:t>2</w:t>
      </w:r>
      <w:r>
        <w:rPr>
          <w:rFonts w:ascii="Times New Roman" w:eastAsia="Times New Roman" w:hAnsi="Times New Roman" w:cs="Times New Roman"/>
          <w:color w:val="000000"/>
          <w:sz w:val="21"/>
          <w:szCs w:val="21"/>
        </w:rPr>
        <w:t>,</w:t>
      </w:r>
      <m:oMath>
        <m:f>
          <m:num>
            <m:sSub>
              <m:e>
                <m:r>
                  <m:t>k</m:t>
                </m:r>
              </m:e>
              <m:sub>
                <m:r>
                  <m:t>1</m:t>
                </m:r>
              </m:sub>
            </m:sSub>
          </m:num>
          <m:den>
            <m:sSub>
              <m:e>
                <m:r>
                  <m:t>k</m:t>
                </m:r>
              </m:e>
              <m:sub>
                <m:r>
                  <m:t>2</m:t>
                </m:r>
              </m:sub>
            </m:sSub>
          </m:den>
        </m:f>
      </m:oMath>
      <w:r>
        <w:rPr>
          <w:rFonts w:ascii="Times New Roman" w:eastAsia="Times New Roman" w:hAnsi="Times New Roman" w:cs="Times New Roman"/>
          <w:i/>
          <w:iCs/>
          <w:color w:val="000000"/>
          <w:sz w:val="21"/>
          <w:szCs w:val="21"/>
        </w:rPr>
        <w:t>=</w:t>
      </w:r>
      <m:oMath>
        <m:f>
          <m:num>
            <m:r>
              <m:t>c</m:t>
            </m:r>
            <m:sSub>
              <m:e>
                <m:r>
                  <m:t>m</m:t>
                </m:r>
              </m:e>
              <m:sub>
                <m:r>
                  <m:t>1</m:t>
                </m:r>
              </m:sub>
            </m:sSub>
          </m:num>
          <m:den>
            <m:r>
              <m:t>c</m:t>
            </m:r>
            <m:sSub>
              <m:e>
                <m:r>
                  <m:t>m</m:t>
                </m:r>
              </m:e>
              <m:sub>
                <m:r>
                  <m:t>2</m:t>
                </m:r>
              </m:sub>
            </m:sSub>
          </m:den>
        </m:f>
      </m:oMath>
      <w:r>
        <w:rPr>
          <w:rFonts w:ascii="Times New Roman" w:eastAsia="Times New Roman" w:hAnsi="Times New Roman" w:cs="Times New Roman"/>
          <w:color w:val="000000"/>
          <w:sz w:val="21"/>
          <w:szCs w:val="21"/>
        </w:rPr>
        <w:t>,</w:t>
      </w:r>
      <w:r>
        <w:rPr>
          <w:rFonts w:ascii="宋体" w:eastAsia="宋体" w:hAnsi="宋体" w:cs="宋体"/>
          <w:color w:val="000000"/>
          <w:sz w:val="21"/>
          <w:szCs w:val="21"/>
        </w:rPr>
        <w:t>所以</w:t>
      </w:r>
      <m:oMath>
        <m:f>
          <m:num>
            <m:sSub>
              <m:e>
                <m:r>
                  <m:t>k</m:t>
                </m:r>
              </m:e>
              <m:sub>
                <m:r>
                  <m:t>1</m:t>
                </m:r>
              </m:sub>
            </m:sSub>
          </m:num>
          <m:den>
            <m:sSub>
              <m:e>
                <m:r>
                  <m:t>k</m:t>
                </m:r>
              </m:e>
              <m:sub>
                <m:r>
                  <m:t>2</m:t>
                </m:r>
              </m:sub>
            </m:sSub>
          </m:den>
        </m:f>
      </m:oMath>
      <w:r>
        <w:rPr>
          <w:rFonts w:ascii="Times New Roman" w:eastAsia="Times New Roman" w:hAnsi="Times New Roman" w:cs="Times New Roman"/>
          <w:i/>
          <w:iCs/>
          <w:color w:val="000000"/>
          <w:sz w:val="21"/>
          <w:szCs w:val="21"/>
        </w:rPr>
        <w:t>=</w:t>
      </w:r>
      <m:oMath>
        <m:f>
          <m:num>
            <m:sSub>
              <m:e>
                <m:r>
                  <m:t>m</m:t>
                </m:r>
              </m:e>
              <m:sub>
                <m:r>
                  <m:t>1</m:t>
                </m:r>
              </m:sub>
            </m:sSub>
          </m:num>
          <m:den>
            <m:sSub>
              <m:e>
                <m:r>
                  <m:t>m</m:t>
                </m:r>
              </m:e>
              <m:sub>
                <m:r>
                  <m:t>2</m:t>
                </m:r>
              </m:sub>
            </m:sSub>
          </m:den>
        </m:f>
      </m:oMath>
      <w:r>
        <w:rPr>
          <w:rFonts w:ascii="Times New Roman" w:eastAsia="Times New Roman" w:hAnsi="Times New Roman" w:cs="Times New Roman"/>
          <w:color w:val="000000"/>
          <w:sz w:val="21"/>
          <w:szCs w:val="21"/>
        </w:rPr>
        <w:t>,</w:t>
      </w:r>
      <w:r>
        <w:rPr>
          <w:rFonts w:ascii="宋体" w:eastAsia="宋体" w:hAnsi="宋体" w:cs="宋体"/>
          <w:color w:val="000000"/>
          <w:sz w:val="21"/>
          <w:szCs w:val="21"/>
        </w:rPr>
        <w:t>即这两条直线的</w:t>
      </w:r>
      <w:r>
        <w:rPr>
          <w:rFonts w:ascii="Times New Roman" w:eastAsia="Times New Roman" w:hAnsi="Times New Roman" w:cs="Times New Roman"/>
          <w:i/>
          <w:iCs/>
          <w:color w:val="000000"/>
          <w:sz w:val="21"/>
          <w:szCs w:val="21"/>
        </w:rPr>
        <w:t>k</w:t>
      </w:r>
      <w:r>
        <w:rPr>
          <w:rFonts w:ascii="宋体" w:eastAsia="宋体" w:hAnsi="宋体" w:cs="宋体"/>
          <w:color w:val="000000"/>
          <w:sz w:val="21"/>
          <w:szCs w:val="21"/>
        </w:rPr>
        <w:t>值与对应水的质量之比相等</w:t>
      </w:r>
      <w:r>
        <w:rPr>
          <w:rFonts w:ascii="Times New Roman" w:eastAsia="Times New Roman" w:hAnsi="Times New Roman" w:cs="Times New Roman"/>
          <w:i/>
          <w:iCs/>
          <w:color w:val="000000"/>
          <w:sz w:val="21"/>
          <w:szCs w:val="21"/>
        </w:rPr>
        <w:t>.</w:t>
      </w:r>
      <w:r>
        <w:rPr>
          <w:color w:val="000000"/>
          <w:sz w:val="24"/>
          <w:szCs w:val="24"/>
        </w:rPr>
        <w:br/>
      </w:r>
      <w:r>
        <w:rPr>
          <w:rFonts w:ascii="Times New Roman" w:hAnsi="Times New Roman" w:cs="Times New Roman"/>
        </w:rPr>
        <w:t>23.(1)  【答案】</w:t>
      </w:r>
      <w:r>
        <w:rPr>
          <w:rFonts w:ascii="宋体" w:eastAsia="宋体" w:hAnsi="宋体" w:cs="宋体"/>
          <w:color w:val="000000"/>
          <w:sz w:val="21"/>
          <w:szCs w:val="21"/>
        </w:rPr>
        <w:t>水和沙子吸收热量的多少</w:t>
      </w:r>
      <w:r>
        <w:rPr>
          <w:color w:val="000000"/>
          <w:sz w:val="24"/>
          <w:szCs w:val="24"/>
        </w:rPr>
        <w:br/>
      </w:r>
      <w:r>
        <w:rPr>
          <w:color w:val="000000"/>
          <w:sz w:val="24"/>
          <w:szCs w:val="24"/>
        </w:rPr>
        <w:t> </w:t>
      </w:r>
      <w:r>
        <w:rPr>
          <w:rFonts w:ascii="Times New Roman" w:hAnsi="Times New Roman" w:cs="Times New Roman"/>
        </w:rPr>
        <w:t>【解析】</w:t>
      </w:r>
      <w:r>
        <w:rPr>
          <w:rFonts w:ascii="宋体" w:eastAsia="宋体" w:hAnsi="宋体" w:cs="宋体"/>
          <w:color w:val="000000"/>
          <w:sz w:val="21"/>
          <w:szCs w:val="21"/>
        </w:rPr>
        <w:t>实验中水和沙子吸收热量的多少和加热时间成正比</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加热时间越长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说明吸收热量越多</w:t>
      </w:r>
      <w:r>
        <w:rPr>
          <w:rFonts w:ascii="Times New Roman" w:eastAsia="Times New Roman" w:hAnsi="Times New Roman" w:cs="Times New Roman"/>
          <w:color w:val="000000"/>
          <w:sz w:val="21"/>
          <w:szCs w:val="21"/>
        </w:rPr>
        <w:t>.</w:t>
      </w:r>
      <w:r>
        <w:rPr>
          <w:color w:val="000000"/>
          <w:sz w:val="24"/>
          <w:szCs w:val="24"/>
        </w:rPr>
        <w:br/>
      </w:r>
      <w:r>
        <w:rPr>
          <w:color w:val="000000"/>
          <w:sz w:val="24"/>
          <w:szCs w:val="24"/>
        </w:rPr>
        <w:t> </w:t>
      </w:r>
      <w:r>
        <w:rPr>
          <w:rFonts w:ascii="Times New Roman" w:hAnsi="Times New Roman" w:cs="Times New Roman"/>
        </w:rPr>
        <w:t>(2)  【答案】</w:t>
      </w:r>
      <w:r>
        <w:rPr>
          <w:rFonts w:ascii="宋体" w:eastAsia="宋体" w:hAnsi="宋体" w:cs="宋体"/>
          <w:color w:val="000000"/>
          <w:sz w:val="21"/>
          <w:szCs w:val="21"/>
        </w:rPr>
        <w:t>见图</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1673225" cy="1404620"/>
            <wp:effectExtent l="0" t="0" r="0" b="0"/>
            <wp:docPr id="17754062" name="0 Imagen" descr="images/d9d500c2-bb7a-460c-96fa-ca09198fa2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4062" name="0 Imagen" descr="images/d9d500c2-bb7a-460c-96fa-ca09198fa245.jpeg"/>
                    <pic:cNvPicPr>
                      <a:picLocks noChangeAspect="1"/>
                    </pic:cNvPicPr>
                  </pic:nvPicPr>
                  <pic:blipFill>
                    <a:blip xmlns:r="http://schemas.openxmlformats.org/officeDocument/2006/relationships" r:embed="rId18" cstate="print"/>
                    <a:stretch>
                      <a:fillRect/>
                    </a:stretch>
                  </pic:blipFill>
                  <pic:spPr>
                    <a:xfrm>
                      <a:off x="0" y="0"/>
                      <a:ext cx="1673352" cy="1405128"/>
                    </a:xfrm>
                    <a:prstGeom prst="rect">
                      <a:avLst/>
                    </a:prstGeom>
                  </pic:spPr>
                </pic:pic>
              </a:graphicData>
            </a:graphic>
          </wp:inline>
        </w:drawing>
      </w:r>
      <w:r>
        <w:rPr>
          <w:color w:val="000000"/>
          <w:sz w:val="24"/>
          <w:szCs w:val="24"/>
        </w:rPr>
        <w:br/>
      </w:r>
      <w:r>
        <w:rPr>
          <w:color w:val="000000"/>
          <w:sz w:val="24"/>
          <w:szCs w:val="24"/>
        </w:rPr>
        <w:t> </w:t>
      </w:r>
      <w:r>
        <w:rPr>
          <w:rFonts w:ascii="Times New Roman" w:hAnsi="Times New Roman" w:cs="Times New Roman"/>
        </w:rPr>
        <w:t>【解析】</w:t>
      </w:r>
      <w:r>
        <w:rPr>
          <w:rFonts w:ascii="宋体" w:eastAsia="宋体" w:hAnsi="宋体" w:cs="宋体"/>
          <w:color w:val="000000"/>
          <w:sz w:val="21"/>
          <w:szCs w:val="21"/>
        </w:rPr>
        <w:t>根据实验数据</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在图乙中画出沙子和水的温度随时间变化的图象</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如图所示</w:t>
      </w:r>
      <w:r>
        <w:rPr>
          <w:rFonts w:ascii="Times New Roman" w:eastAsia="Times New Roman" w:hAnsi="Times New Roman" w:cs="Times New Roman"/>
          <w:color w:val="000000"/>
          <w:sz w:val="21"/>
          <w:szCs w:val="21"/>
        </w:rPr>
        <w:t>.</w:t>
      </w:r>
      <w:r>
        <w:rPr>
          <w:color w:val="000000"/>
          <w:sz w:val="24"/>
          <w:szCs w:val="24"/>
        </w:rPr>
        <w:br/>
      </w:r>
      <w:r>
        <w:rPr>
          <w:color w:val="000000"/>
          <w:sz w:val="24"/>
          <w:szCs w:val="24"/>
        </w:rPr>
        <w:t> </w:t>
      </w:r>
      <w:r>
        <w:rPr>
          <w:rFonts w:ascii="Times New Roman" w:hAnsi="Times New Roman" w:cs="Times New Roman"/>
        </w:rPr>
        <w:t>(3)  【答案】</w:t>
      </w:r>
      <w:r>
        <w:rPr>
          <w:rFonts w:ascii="宋体" w:eastAsia="宋体" w:hAnsi="宋体" w:cs="宋体"/>
          <w:color w:val="000000"/>
          <w:sz w:val="21"/>
          <w:szCs w:val="21"/>
        </w:rPr>
        <w:t>沙子</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水</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比热容</w:t>
      </w:r>
      <w:r>
        <w:rPr>
          <w:rFonts w:ascii="Times New Roman" w:eastAsia="Times New Roman" w:hAnsi="Times New Roman" w:cs="Times New Roman"/>
          <w:color w:val="000000"/>
          <w:sz w:val="21"/>
          <w:szCs w:val="21"/>
        </w:rPr>
        <w:t>.</w:t>
      </w:r>
      <w:r>
        <w:rPr>
          <w:color w:val="000000"/>
          <w:sz w:val="24"/>
          <w:szCs w:val="24"/>
        </w:rPr>
        <w:br/>
      </w:r>
      <w:r>
        <w:rPr>
          <w:color w:val="000000"/>
          <w:sz w:val="24"/>
          <w:szCs w:val="24"/>
        </w:rPr>
        <w:t> </w:t>
      </w:r>
      <w:r>
        <w:rPr>
          <w:rFonts w:ascii="Times New Roman" w:hAnsi="Times New Roman" w:cs="Times New Roman"/>
        </w:rPr>
        <w:t>【解析】</w:t>
      </w:r>
      <w:r>
        <w:rPr>
          <w:rFonts w:ascii="宋体" w:eastAsia="宋体" w:hAnsi="宋体" w:cs="宋体"/>
          <w:color w:val="000000"/>
          <w:sz w:val="21"/>
          <w:szCs w:val="21"/>
        </w:rPr>
        <w:t>分析图象可知</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质量相等的沙子和水</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吸收相等热量</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沙子升温较快</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若使两者升高相同的温度</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水加热时间较长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说明吸收的热量较多</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由此可知</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水吸热能力较强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这一属性我们在物理学中称之为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比热容</w:t>
      </w:r>
      <w:r>
        <w:rPr>
          <w:rFonts w:ascii="Times New Roman" w:eastAsia="Times New Roman" w:hAnsi="Times New Roman" w:cs="Times New Roman"/>
          <w:color w:val="000000"/>
          <w:sz w:val="21"/>
          <w:szCs w:val="21"/>
        </w:rPr>
        <w:t>”.</w:t>
      </w:r>
      <w:r>
        <w:rPr>
          <w:color w:val="000000"/>
          <w:sz w:val="24"/>
          <w:szCs w:val="24"/>
        </w:rPr>
        <w:br/>
      </w:r>
      <w:r>
        <w:rPr>
          <w:rFonts w:ascii="Times New Roman" w:hAnsi="Times New Roman" w:cs="Times New Roman"/>
        </w:rPr>
        <w:t>24. 【答案】</w:t>
      </w:r>
      <w:r>
        <w:rPr>
          <w:rFonts w:ascii="Times New Roman" w:eastAsia="Times New Roman" w:hAnsi="Times New Roman" w:cs="Times New Roman"/>
          <w:i/>
          <w:iCs/>
          <w:color w:val="000000"/>
          <w:sz w:val="21"/>
          <w:szCs w:val="21"/>
        </w:rPr>
        <w:t>Q</w:t>
      </w:r>
      <w:r>
        <w:rPr>
          <w:rFonts w:ascii="宋体" w:eastAsia="宋体" w:hAnsi="宋体" w:cs="宋体"/>
          <w:color w:val="000000"/>
          <w:position w:val="-4"/>
          <w:sz w:val="21"/>
          <w:szCs w:val="21"/>
          <w:vertAlign w:val="subscript"/>
        </w:rPr>
        <w:t>吸</w:t>
      </w:r>
      <w:r>
        <w:rPr>
          <w:rFonts w:ascii="Times New Roman" w:eastAsia="Times New Roman" w:hAnsi="Times New Roman" w:cs="Times New Roman"/>
          <w:color w:val="000000"/>
          <w:sz w:val="21"/>
          <w:szCs w:val="21"/>
        </w:rPr>
        <w:t>=8×10</w:t>
      </w:r>
      <w:r>
        <w:rPr>
          <w:rFonts w:ascii="Times New Roman" w:eastAsia="Times New Roman" w:hAnsi="Times New Roman" w:cs="Times New Roman"/>
          <w:color w:val="000000"/>
          <w:position w:val="4"/>
          <w:sz w:val="19"/>
          <w:szCs w:val="19"/>
          <w:vertAlign w:val="superscript"/>
        </w:rPr>
        <w:t>4</w:t>
      </w:r>
      <w:r>
        <w:rPr>
          <w:rFonts w:ascii="Times New Roman" w:eastAsia="Times New Roman" w:hAnsi="Times New Roman" w:cs="Times New Roman"/>
          <w:color w:val="000000"/>
          <w:sz w:val="21"/>
          <w:szCs w:val="21"/>
        </w:rPr>
        <w:t>×1.4×3×60×60%=1.209 6×10</w:t>
      </w:r>
      <w:r>
        <w:rPr>
          <w:rFonts w:ascii="Times New Roman" w:eastAsia="Times New Roman" w:hAnsi="Times New Roman" w:cs="Times New Roman"/>
          <w:color w:val="000000"/>
          <w:position w:val="4"/>
          <w:sz w:val="19"/>
          <w:szCs w:val="19"/>
          <w:vertAlign w:val="superscript"/>
        </w:rPr>
        <w:t>7</w:t>
      </w:r>
      <w:r>
        <w:rPr>
          <w:rFonts w:ascii="Times New Roman" w:eastAsia="Times New Roman" w:hAnsi="Times New Roman" w:cs="Times New Roman"/>
          <w:color w:val="000000"/>
          <w:sz w:val="21"/>
          <w:szCs w:val="21"/>
        </w:rPr>
        <w:t> J</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Δ</w:t>
      </w:r>
      <w:r>
        <w:rPr>
          <w:rFonts w:ascii="Times New Roman" w:eastAsia="Times New Roman" w:hAnsi="Times New Roman" w:cs="Times New Roman"/>
          <w:i/>
          <w:iCs/>
          <w:color w:val="000000"/>
          <w:sz w:val="21"/>
          <w:szCs w:val="21"/>
        </w:rPr>
        <w:t>t</w:t>
      </w:r>
      <w:r>
        <w:rPr>
          <w:rFonts w:ascii="Times New Roman" w:eastAsia="Times New Roman" w:hAnsi="Times New Roman" w:cs="Times New Roman"/>
          <w:color w:val="000000"/>
          <w:sz w:val="21"/>
          <w:szCs w:val="21"/>
        </w:rPr>
        <w:t>=</w:t>
      </w:r>
      <m:oMath>
        <m:f>
          <m:num>
            <m:sSub>
              <m:e>
                <m:r>
                  <m:t>Q</m:t>
                </m:r>
              </m:e>
              <m:sub>
                <m:r>
                  <m:rPr>
                    <m:nor/>
                    <m:sty m:val="p"/>
                  </m:rPr>
                  <m:t>吸</m:t>
                </m:r>
              </m:sub>
            </m:sSub>
          </m:num>
          <m:den>
            <m:r>
              <m:t>cm</m:t>
            </m:r>
          </m:den>
        </m:f>
      </m:oMath>
      <w:r>
        <w:rPr>
          <w:rFonts w:ascii="Times New Roman" w:eastAsia="Times New Roman" w:hAnsi="Times New Roman" w:cs="Times New Roman"/>
          <w:color w:val="000000"/>
          <w:sz w:val="21"/>
          <w:szCs w:val="21"/>
        </w:rPr>
        <w:t>=</w:t>
      </w:r>
      <m:oMath>
        <m:f>
          <m:num>
            <m:r>
              <m:t>1</m:t>
            </m:r>
            <m:r>
              <m:rPr>
                <m:nor/>
                <m:sty m:val="p"/>
              </m:rPr>
              <m:t>.</m:t>
            </m:r>
            <m:r>
              <m:t>2096×1</m:t>
            </m:r>
            <m:sSup>
              <m:e>
                <m:r>
                  <m:t>0</m:t>
                </m:r>
              </m:e>
              <m:sup>
                <m:r>
                  <m:t>7</m:t>
                </m:r>
              </m:sup>
            </m:sSup>
          </m:num>
          <m:den>
            <m:r>
              <m:t>4</m:t>
            </m:r>
            <m:r>
              <m:rPr>
                <m:nor/>
                <m:sty m:val="p"/>
              </m:rPr>
              <m:t>.</m:t>
            </m:r>
            <m:r>
              <m:t>2×1</m:t>
            </m:r>
            <m:sSup>
              <m:e>
                <m:r>
                  <m:t>0</m:t>
                </m:r>
              </m:e>
              <m:sup>
                <m:r>
                  <m:t>3</m:t>
                </m:r>
              </m:sup>
            </m:sSup>
            <m:r>
              <m:t>×80</m:t>
            </m:r>
          </m:den>
        </m:f>
      </m:oMath>
      <w:r>
        <w:rPr>
          <w:rFonts w:ascii="Times New Roman" w:eastAsia="Times New Roman" w:hAnsi="Times New Roman" w:cs="Times New Roman"/>
          <w:color w:val="000000"/>
          <w:sz w:val="21"/>
          <w:szCs w:val="21"/>
        </w:rPr>
        <w:t>=36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rPr>
          <w:rFonts w:ascii="Times New Roman" w:eastAsia="Times New Roman" w:hAnsi="Times New Roman" w:cs="Times New Roman"/>
          <w:i/>
          <w:iCs/>
          <w:color w:val="000000"/>
          <w:sz w:val="21"/>
          <w:szCs w:val="21"/>
        </w:rPr>
        <w:t>T=t</w:t>
      </w:r>
      <w:r>
        <w:rPr>
          <w:rFonts w:ascii="Times New Roman" w:eastAsia="Times New Roman" w:hAnsi="Times New Roman" w:cs="Times New Roman"/>
          <w:color w:val="000000"/>
          <w:position w:val="-4"/>
          <w:sz w:val="19"/>
          <w:szCs w:val="19"/>
          <w:vertAlign w:val="subscript"/>
        </w:rPr>
        <w:t>0</w:t>
      </w:r>
      <w:r>
        <w:rPr>
          <w:rFonts w:ascii="Times New Roman" w:eastAsia="Times New Roman" w:hAnsi="Times New Roman" w:cs="Times New Roman"/>
          <w:color w:val="000000"/>
          <w:sz w:val="21"/>
          <w:szCs w:val="21"/>
        </w:rPr>
        <w:t>+Δ</w:t>
      </w:r>
      <w:r>
        <w:rPr>
          <w:rFonts w:ascii="Times New Roman" w:eastAsia="Times New Roman" w:hAnsi="Times New Roman" w:cs="Times New Roman"/>
          <w:i/>
          <w:iCs/>
          <w:color w:val="000000"/>
          <w:sz w:val="21"/>
          <w:szCs w:val="21"/>
        </w:rPr>
        <w:t>t</w:t>
      </w:r>
      <w:r>
        <w:rPr>
          <w:rFonts w:ascii="Times New Roman" w:eastAsia="Times New Roman" w:hAnsi="Times New Roman" w:cs="Times New Roman"/>
          <w:color w:val="000000"/>
          <w:sz w:val="21"/>
          <w:szCs w:val="21"/>
        </w:rPr>
        <w:t>=20+36=56 ℃</w:t>
      </w:r>
      <w:r>
        <w:rPr>
          <w:color w:val="000000"/>
          <w:sz w:val="24"/>
          <w:szCs w:val="24"/>
        </w:rPr>
        <w:br/>
      </w:r>
      <w:r>
        <w:rPr>
          <w:color w:val="000000"/>
          <w:sz w:val="24"/>
          <w:szCs w:val="24"/>
        </w:rPr>
        <w:t> </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701" w:bottom="1417" w:left="1701" w:header="708" w:footer="708" w:gutter="0"/>
      <w:cols w:num="1" w:space="708"/>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86"/>
    <w:family w:val="auto"/>
    <w:pitch w:val="default"/>
    <w:sig w:usb0="E00002FF" w:usb1="420024FF"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hint="eastAsia"/>
        <w:lang w:eastAsia="zh-CN"/>
      </w:rPr>
      <w:t>第</w:t>
    </w:r>
    <w:r>
      <w:fldChar w:fldCharType="begin"/>
    </w:r>
    <w:r>
      <w:instrText xml:space="preserve"> =</w:instrText>
    </w:r>
    <w:r>
      <w:fldChar w:fldCharType="begin"/>
    </w:r>
    <w:r>
      <w:instrText xml:space="preserve">page  </w:instrText>
    </w:r>
    <w:r>
      <w:fldChar w:fldCharType="separate"/>
    </w:r>
    <w:r>
      <w:instrText>2</w:instrText>
    </w:r>
    <w:r>
      <w:fldChar w:fldCharType="end"/>
    </w:r>
    <w:r>
      <w:instrText xml:space="preserve"> </w:instrText>
    </w:r>
    <w:r>
      <w:fldChar w:fldCharType="separate"/>
    </w:r>
    <w:r>
      <w:t>2</w:t>
    </w:r>
    <w:r>
      <w:fldChar w:fldCharType="end"/>
    </w:r>
    <w:r>
      <w:rPr>
        <w:rFonts w:hint="eastAsia"/>
      </w:rPr>
      <w:t xml:space="preserve">页    </w:t>
    </w:r>
    <w:r>
      <w:rPr>
        <w:rFonts w:hint="eastAsia"/>
        <w:lang w:eastAsia="zh-CN"/>
      </w:rPr>
      <w:t>共</w:t>
    </w:r>
    <w:r>
      <w:fldChar w:fldCharType="begin"/>
    </w:r>
    <w:r>
      <w:instrText xml:space="preserve"> =</w:instrText>
    </w:r>
    <w:r>
      <w:fldChar w:fldCharType="begin"/>
    </w:r>
    <w:r>
      <w:instrText xml:space="preserve">sectionpages  </w:instrText>
    </w:r>
    <w:r>
      <w:fldChar w:fldCharType="separate"/>
    </w:r>
    <w:r>
      <w:instrText>4</w:instrText>
    </w:r>
    <w:r>
      <w:fldChar w:fldCharType="end"/>
    </w:r>
    <w:r>
      <w:instrText xml:space="preserve"> </w:instrText>
    </w:r>
    <w:r>
      <w:fldChar w:fldCharType="separate"/>
    </w:r>
    <w:r>
      <w:t>4</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rPr>
        <w:lang w:eastAsia="zh-CN"/>
      </w:rPr>
    </w:pPr>
    <w:r>
      <w:rPr>
        <w:rFonts w:hint="eastAsia"/>
        <w:lang w:eastAsia="zh-CN"/>
      </w:rPr>
      <w:t>第</w:t>
    </w:r>
    <w:r>
      <w:fldChar w:fldCharType="begin"/>
    </w:r>
    <w:r>
      <w:rPr>
        <w:lang w:eastAsia="zh-CN"/>
      </w:rPr>
      <w:instrText xml:space="preserve"> =</w:instrText>
    </w:r>
    <w:r>
      <w:fldChar w:fldCharType="begin"/>
    </w:r>
    <w:r>
      <w:rPr>
        <w:lang w:eastAsia="zh-CN"/>
      </w:rPr>
      <w:instrText xml:space="preserve">page  </w:instrText>
    </w:r>
    <w:r>
      <w:fldChar w:fldCharType="separate"/>
    </w:r>
    <w:r>
      <w:rPr>
        <w:lang w:eastAsia="zh-CN"/>
      </w:rPr>
      <w:instrText>1</w:instrText>
    </w:r>
    <w:r>
      <w:fldChar w:fldCharType="end"/>
    </w:r>
    <w:r>
      <w:rPr>
        <w:lang w:eastAsia="zh-CN"/>
      </w:rPr>
      <w:instrText xml:space="preserve"> </w:instrText>
    </w:r>
    <w:r>
      <w:fldChar w:fldCharType="separate"/>
    </w:r>
    <w:r>
      <w:rPr>
        <w:lang w:eastAsia="zh-CN"/>
      </w:rPr>
      <w:t>1</w:t>
    </w:r>
    <w:r>
      <w:fldChar w:fldCharType="end"/>
    </w:r>
    <w:r>
      <w:rPr>
        <w:rFonts w:hint="eastAsia"/>
        <w:lang w:eastAsia="zh-CN"/>
      </w:rPr>
      <w:t>页    共</w:t>
    </w:r>
    <w:r>
      <w:fldChar w:fldCharType="begin"/>
    </w:r>
    <w:r>
      <w:rPr>
        <w:lang w:eastAsia="zh-CN"/>
      </w:rPr>
      <w:instrText xml:space="preserve"> =</w:instrText>
    </w:r>
    <w:r>
      <w:fldChar w:fldCharType="begin"/>
    </w:r>
    <w:r>
      <w:rPr>
        <w:lang w:eastAsia="zh-CN"/>
      </w:rPr>
      <w:instrText xml:space="preserve">sectionpages  </w:instrText>
    </w:r>
    <w:r>
      <w:fldChar w:fldCharType="separate"/>
    </w:r>
    <w:r>
      <w:rPr>
        <w:lang w:eastAsia="zh-CN"/>
      </w:rPr>
      <w:instrText>4</w:instrText>
    </w:r>
    <w:r>
      <w:fldChar w:fldCharType="end"/>
    </w:r>
    <w:r>
      <w:rPr>
        <w:lang w:eastAsia="zh-CN"/>
      </w:rPr>
      <w:instrText xml:space="preserve"> </w:instrText>
    </w:r>
    <w:r>
      <w:fldChar w:fldCharType="separate"/>
    </w:r>
    <w:r>
      <w:rPr>
        <w:lang w:eastAsia="zh-CN"/>
      </w:rPr>
      <w:t>4</w:t>
    </w:r>
    <w:r>
      <w:fldChar w:fldCharType="end"/>
    </w:r>
    <w:r>
      <w:rPr>
        <w:rFonts w:hint="eastAsia"/>
        <w:lang w:eastAsia="zh-CN"/>
      </w:rPr>
      <w:t>页</w: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lang w:eastAsia="zh-CN"/>
      </w:rPr>
      <w:pict>
        <v:shapetype id="_x0000_t32" coordsize="21600,21600" o:spt="32" o:oned="t" path="m,l21600,21600e" filled="f">
          <v:path arrowok="t" fillok="f" o:connecttype="none"/>
          <o:lock v:ext="edit" shapetype="t"/>
        </v:shapetype>
        <v:shape id="_x0000_s2049" o:spid="_x0000_s2049" type="#_x0000_t32" style="height:7.5pt;margin-left:504.45pt;margin-top:6.55pt;mso-height-relative:page;mso-width-relative:page;position:absolute;width:1.5pt;z-index:251658240" coordsize="21600,21600" o:connectortype="straight" filled="f" stroked="t">
          <v:path arrowok="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sdException w:name="heading 2"/>
    <w:lsdException w:name="heading 3"/>
    <w:lsdException w:name="heading 4"/>
    <w:lsdException w:name="heading 5"/>
    <w:lsdException w:name="heading 6"/>
    <w:lsdException w:name="heading 7"/>
    <w:lsdException w:name="heading 8"/>
    <w:lsdException w:name="heading 9"/>
    <w:lsdException w:name="index 1"/>
    <w:lsdException w:name="index 2"/>
    <w:lsdException w:name="index 3"/>
    <w:lsdException w:name="index 4"/>
    <w:lsdException w:name="index 5"/>
    <w:lsdException w:name="index 6"/>
    <w:lsdException w:name="index 7"/>
    <w:lsdException w:name="index 8"/>
    <w:lsdException w:name="index 9"/>
    <w:lsdException w:name="toc 1"/>
    <w:lsdException w:name="toc 2"/>
    <w:lsdException w:name="toc 3"/>
    <w:lsdException w:name="toc 4"/>
    <w:lsdException w:name="toc 5"/>
    <w:lsdException w:name="toc 6"/>
    <w:lsdException w:name="toc 7"/>
    <w:lsdException w:name="toc 8"/>
    <w:lsdException w:name="toc 9"/>
    <w:lsdException w:name="Normal Indent"/>
    <w:lsdException w:name="footnote text"/>
    <w:lsdException w:name="annotation text"/>
    <w:lsdException w:name="header"/>
    <w:lsdException w:name="footer"/>
    <w:lsdException w:name="index heading"/>
    <w:lsdException w:name="caption"/>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sdException w:name="Closing"/>
    <w:lsdException w:name="Signature"/>
    <w:lsdException w:name="Default Paragraph Font"/>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sdException w:name="Emphasis"/>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bidi="ar-SA"/>
    </w:rPr>
  </w:style>
  <w:style w:type="character" w:default="1" w:styleId="DefaultParagraphFont">
    <w:name w:val="Default Paragraph Font"/>
    <w:uiPriority w:val="99"/>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customStyle="1" w:styleId="Heading1PHPDOCX">
    <w:name w:val="Heading 1 PHPDOCX"/>
    <w:basedOn w:val="Normal"/>
    <w:next w:val="Normal"/>
    <w:link w:val="Heading1CarPHPDOCX"/>
    <w:uiPriority w:val="9"/>
    <w:qFormat/>
    <w:pPr>
      <w:keepNext/>
      <w:keepLines/>
      <w:spacing w:before="480" w:after="0"/>
      <w:outlineLvl w:val="0"/>
    </w:pPr>
    <w:rPr>
      <w:rFonts w:asciiTheme="majorHAnsi" w:eastAsiaTheme="majorEastAsia" w:hAnsiTheme="majorHAnsi" w:cstheme="majorBidi"/>
      <w:b/>
      <w:bCs/>
      <w:color w:val="366091" w:themeColor="accent1" w:themeShade="BF"/>
      <w:sz w:val="28"/>
      <w:szCs w:val="28"/>
    </w:rPr>
  </w:style>
  <w:style w:type="paragraph" w:customStyle="1" w:styleId="Heading2PHPDOCX">
    <w:name w:val="Heading 2 PHPDOCX"/>
    <w:basedOn w:val="Normal"/>
    <w:next w:val="Normal"/>
    <w:link w:val="Heading2CarPHPDOCX"/>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pPr>
      <w:keepNext/>
      <w:keepLines/>
      <w:spacing w:before="200" w:after="0"/>
      <w:outlineLvl w:val="4"/>
    </w:pPr>
    <w:rPr>
      <w:rFonts w:asciiTheme="majorHAnsi" w:eastAsiaTheme="majorEastAsia" w:hAnsiTheme="majorHAnsi" w:cstheme="majorBidi"/>
      <w:color w:val="243F61" w:themeColor="accent1" w:themeShade="7F"/>
    </w:rPr>
  </w:style>
  <w:style w:type="paragraph" w:customStyle="1" w:styleId="Heading6PHPDOCX">
    <w:name w:val="Heading 6 PHPDOCX"/>
    <w:basedOn w:val="Normal"/>
    <w:next w:val="Normal"/>
    <w:link w:val="Heading6CarPHPDOCX"/>
    <w:uiPriority w:val="9"/>
    <w:unhideWhenUsed/>
    <w:qFormat/>
    <w:pPr>
      <w:keepNext/>
      <w:keepLines/>
      <w:spacing w:before="200" w:after="0"/>
      <w:outlineLvl w:val="5"/>
    </w:pPr>
    <w:rPr>
      <w:rFonts w:asciiTheme="majorHAnsi" w:eastAsiaTheme="majorEastAsia" w:hAnsiTheme="majorHAnsi" w:cstheme="majorBidi"/>
      <w:i/>
      <w:iCs/>
      <w:color w:val="243F61" w:themeColor="accent1" w:themeShade="7F"/>
    </w:rPr>
  </w:style>
  <w:style w:type="paragraph" w:customStyle="1" w:styleId="Heading7PHPDOCX">
    <w:name w:val="Heading 7 PHPDOCX"/>
    <w:basedOn w:val="Normal"/>
    <w:next w:val="Normal"/>
    <w:link w:val="Heading7CarPHPDOCX"/>
    <w:uiPriority w:val="9"/>
    <w:unhideWhenUsed/>
    <w:qFormat/>
    <w:pPr>
      <w:keepNext/>
      <w:keepLines/>
      <w:spacing w:before="200" w:after="0"/>
      <w:outlineLvl w:val="6"/>
    </w:pPr>
    <w:rPr>
      <w:rFonts w:asciiTheme="majorHAnsi" w:eastAsiaTheme="majorEastAsia" w:hAnsiTheme="majorHAnsi" w:cstheme="majorBidi"/>
      <w:i/>
      <w:iCs/>
      <w:color w:val="3F3F3F" w:themeColor="text1" w:themeTint="BF"/>
    </w:rPr>
  </w:style>
  <w:style w:type="paragraph" w:customStyle="1" w:styleId="Heading8PHPDOCX">
    <w:name w:val="Heading 8 PHPDOCX"/>
    <w:basedOn w:val="Normal"/>
    <w:next w:val="Normal"/>
    <w:link w:val="Heading8CarPHPDOCX"/>
    <w:uiPriority w:val="9"/>
    <w:semiHidden/>
    <w:unhideWhenUsed/>
    <w:qFormat/>
    <w:pPr>
      <w:keepNext/>
      <w:keepLines/>
      <w:spacing w:before="200" w:after="0"/>
      <w:outlineLvl w:val="7"/>
    </w:pPr>
    <w:rPr>
      <w:rFonts w:asciiTheme="majorHAnsi" w:eastAsiaTheme="majorEastAsia" w:hAnsiTheme="majorHAnsi" w:cstheme="majorBidi"/>
      <w:color w:val="3F3F3F" w:themeColor="text1" w:themeTint="BF"/>
      <w:sz w:val="20"/>
      <w:szCs w:val="20"/>
    </w:rPr>
  </w:style>
  <w:style w:type="paragraph" w:customStyle="1" w:styleId="Heading9PHPDOCX">
    <w:name w:val="Heading 9 PHPDOCX"/>
    <w:basedOn w:val="Normal"/>
    <w:next w:val="Normal"/>
    <w:link w:val="Heading9CarPHPDOCX"/>
    <w:uiPriority w:val="9"/>
    <w:semiHidden/>
    <w:unhideWhenUsed/>
    <w:qFormat/>
    <w:pPr>
      <w:keepNext/>
      <w:keepLines/>
      <w:spacing w:before="200" w:after="0"/>
      <w:outlineLvl w:val="8"/>
    </w:pPr>
    <w:rPr>
      <w:rFonts w:asciiTheme="majorHAnsi" w:eastAsiaTheme="majorEastAsia" w:hAnsiTheme="majorHAnsi" w:cstheme="majorBidi"/>
      <w:i/>
      <w:iCs/>
      <w:color w:val="3F3F3F" w:themeColor="text1" w:themeTint="BF"/>
      <w:sz w:val="20"/>
      <w:szCs w:val="20"/>
    </w:rPr>
  </w:style>
  <w:style w:type="character" w:customStyle="1" w:styleId="annotationreferencePHPDOCX">
    <w:name w:val="annotation reference PHPDOCX"/>
    <w:basedOn w:val="DefaultParagraphFontPHPDOCX"/>
    <w:uiPriority w:val="99"/>
    <w:semiHidden/>
    <w:unhideWhenUsed/>
    <w:rPr>
      <w:sz w:val="16"/>
      <w:szCs w:val="16"/>
    </w:rPr>
  </w:style>
  <w:style w:type="character" w:customStyle="1" w:styleId="DefaultParagraphFontPHPDOCX">
    <w:name w:val="Default Paragraph Font PHPDOCX"/>
    <w:uiPriority w:val="1"/>
    <w:semiHidden/>
    <w:unhideWhenUsed/>
    <w:qFormat/>
  </w:style>
  <w:style w:type="paragraph" w:customStyle="1" w:styleId="annotationtextPHPDOCX">
    <w:name w:val="annotation text PHPDOCX"/>
    <w:basedOn w:val="Normal"/>
    <w:link w:val="CommentTextCharPHPDOCX"/>
    <w:uiPriority w:val="99"/>
    <w:semiHidden/>
    <w:unhideWhenUsed/>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Pr>
      <w:b/>
      <w:bCs/>
    </w:rPr>
  </w:style>
  <w:style w:type="character" w:customStyle="1" w:styleId="CommentSubjectCharPHPDOCX">
    <w:name w:val="Comment Subject Char PHPDOCX"/>
    <w:basedOn w:val="CommentTextCharPHPDOCX"/>
    <w:link w:val="annotationsubjectPHPDOCX"/>
    <w:uiPriority w:val="99"/>
    <w:semiHidden/>
    <w:qFormat/>
    <w:rPr>
      <w:b/>
      <w:bCs/>
      <w:sz w:val="20"/>
      <w:szCs w:val="20"/>
    </w:rPr>
  </w:style>
  <w:style w:type="paragraph" w:customStyle="1" w:styleId="BalloonTextPHPDOCX">
    <w:name w:val="Balloon Text PHPDOCX"/>
    <w:basedOn w:val="Normal"/>
    <w:link w:val="BalloonTextCharPHPDOCX"/>
    <w:uiPriority w:val="99"/>
    <w:semiHidden/>
    <w:unhideWhenUsed/>
    <w:qFormat/>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qFormat/>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qFormat/>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qFormat/>
    <w:rPr>
      <w:sz w:val="20"/>
      <w:szCs w:val="20"/>
    </w:rPr>
  </w:style>
  <w:style w:type="character" w:customStyle="1" w:styleId="footnoteReferencePHPDOCX">
    <w:name w:val="footnote Reference PHPDOCX"/>
    <w:basedOn w:val="DefaultParagraphFontPHPDOCX"/>
    <w:uiPriority w:val="99"/>
    <w:semiHidden/>
    <w:unhideWhenUsed/>
    <w:qFormat/>
    <w:rPr>
      <w:vertAlign w:val="superscript"/>
    </w:rPr>
  </w:style>
  <w:style w:type="paragraph" w:customStyle="1" w:styleId="endnoteTextPHPDOCX">
    <w:name w:val="endnote Text PHPDOCX"/>
    <w:basedOn w:val="Normal"/>
    <w:link w:val="endnotetextCarPHPDOCX"/>
    <w:uiPriority w:val="99"/>
    <w:semiHidden/>
    <w:unhideWhenUsed/>
    <w:qFormat/>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qFormat/>
    <w:rPr>
      <w:sz w:val="20"/>
      <w:szCs w:val="20"/>
    </w:rPr>
  </w:style>
  <w:style w:type="character" w:customStyle="1" w:styleId="endnoteReferencePHPDOCX">
    <w:name w:val="endnote Reference PHPDOCX"/>
    <w:basedOn w:val="DefaultParagraphFontPHPDOCX"/>
    <w:uiPriority w:val="99"/>
    <w:semiHidden/>
    <w:unhideWhenUsed/>
    <w:qFormat/>
    <w:rPr>
      <w:vertAlign w:val="superscript"/>
    </w:rPr>
  </w:style>
  <w:style w:type="character" w:customStyle="1" w:styleId="Heading1CarPHPDOCX">
    <w:name w:val="Heading 1 Car PHPDOCX"/>
    <w:basedOn w:val="DefaultParagraphFontPHPDOCX"/>
    <w:link w:val="Heading1PHPDOCX"/>
    <w:uiPriority w:val="9"/>
    <w:qFormat/>
    <w:rPr>
      <w:rFonts w:asciiTheme="majorHAnsi" w:eastAsiaTheme="majorEastAsia" w:hAnsiTheme="majorHAnsi" w:cstheme="majorBidi"/>
      <w:b/>
      <w:bCs/>
      <w:color w:val="366091" w:themeColor="accent1" w:themeShade="BF"/>
      <w:sz w:val="28"/>
      <w:szCs w:val="28"/>
    </w:rPr>
  </w:style>
  <w:style w:type="character" w:customStyle="1" w:styleId="Heading2CarPHPDOCX">
    <w:name w:val="Heading 2 Car PHPDOCX"/>
    <w:basedOn w:val="DefaultParagraphFontPHPDOCX"/>
    <w:link w:val="Heading2PHPDOCX"/>
    <w:uiPriority w:val="9"/>
    <w:qFormat/>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qFormat/>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qFormat/>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qFormat/>
    <w:rPr>
      <w:rFonts w:asciiTheme="majorHAnsi" w:eastAsiaTheme="majorEastAsia" w:hAnsiTheme="majorHAnsi" w:cstheme="majorBidi"/>
      <w:color w:val="243F61" w:themeColor="accent1" w:themeShade="7F"/>
    </w:rPr>
  </w:style>
  <w:style w:type="character" w:customStyle="1" w:styleId="Heading6CarPHPDOCX">
    <w:name w:val="Heading 6 Car PHPDOCX"/>
    <w:basedOn w:val="DefaultParagraphFontPHPDOCX"/>
    <w:link w:val="Heading6PHPDOCX"/>
    <w:uiPriority w:val="9"/>
    <w:qFormat/>
    <w:rPr>
      <w:rFonts w:asciiTheme="majorHAnsi" w:eastAsiaTheme="majorEastAsia" w:hAnsiTheme="majorHAnsi" w:cstheme="majorBidi"/>
      <w:i/>
      <w:iCs/>
      <w:color w:val="243F61" w:themeColor="accent1" w:themeShade="7F"/>
    </w:rPr>
  </w:style>
  <w:style w:type="character" w:customStyle="1" w:styleId="Heading7CarPHPDOCX">
    <w:name w:val="Heading 7 Car PHPDOCX"/>
    <w:basedOn w:val="DefaultParagraphFontPHPDOCX"/>
    <w:link w:val="Heading7PHPDOCX"/>
    <w:uiPriority w:val="9"/>
    <w:qFormat/>
    <w:rPr>
      <w:rFonts w:asciiTheme="majorHAnsi" w:eastAsiaTheme="majorEastAsia" w:hAnsiTheme="majorHAnsi" w:cstheme="majorBidi"/>
      <w:i/>
      <w:iCs/>
      <w:color w:val="3F3F3F" w:themeColor="text1" w:themeTint="BF"/>
    </w:rPr>
  </w:style>
  <w:style w:type="paragraph" w:customStyle="1" w:styleId="TitlePHPDOCX">
    <w:name w:val="Title PHPDOCX"/>
    <w:basedOn w:val="Normal"/>
    <w:next w:val="Normal"/>
    <w:link w:val="TitleCarPHPDOCX"/>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qFormat/>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qFormat/>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Pr>
      <w:i/>
      <w:iCs/>
      <w:color w:val="7F7F7F" w:themeColor="text1" w:themeTint="7F"/>
    </w:rPr>
  </w:style>
  <w:style w:type="character" w:customStyle="1" w:styleId="EmphasisPHPDOCX">
    <w:name w:val="Emphasis PHPDOCX"/>
    <w:basedOn w:val="DefaultParagraphFontPHPDOCX"/>
    <w:uiPriority w:val="20"/>
    <w:qFormat/>
    <w:rPr>
      <w:i/>
      <w:iCs/>
    </w:rPr>
  </w:style>
  <w:style w:type="character" w:customStyle="1" w:styleId="IntenseEmphasisPHPDOCX">
    <w:name w:val="Intense Emphasis PHPDOCX"/>
    <w:basedOn w:val="DefaultParagraphFontPHPDOCX"/>
    <w:uiPriority w:val="21"/>
    <w:qFormat/>
    <w:rPr>
      <w:b/>
      <w:bCs/>
      <w:i/>
      <w:iCs/>
      <w:color w:val="4F81BD" w:themeColor="accent1"/>
    </w:rPr>
  </w:style>
  <w:style w:type="character" w:customStyle="1" w:styleId="StrongPHPDOCX">
    <w:name w:val="Strong PHPDOCX"/>
    <w:basedOn w:val="DefaultParagraphFontPHPDOCX"/>
    <w:uiPriority w:val="22"/>
    <w:qFormat/>
    <w:rPr>
      <w:b/>
      <w:bCs/>
    </w:rPr>
  </w:style>
  <w:style w:type="paragraph" w:customStyle="1" w:styleId="QuotePHPDOCX">
    <w:name w:val="Quote PHPDOCX"/>
    <w:basedOn w:val="Normal"/>
    <w:next w:val="Normal"/>
    <w:link w:val="QuoteCarPHPDOCX"/>
    <w:uiPriority w:val="29"/>
    <w:qFormat/>
    <w:rPr>
      <w:i/>
      <w:iCs/>
      <w:color w:val="000000" w:themeColor="text1"/>
    </w:rPr>
  </w:style>
  <w:style w:type="character" w:customStyle="1" w:styleId="QuoteCarPHPDOCX">
    <w:name w:val="Quote Car PHPDOCX"/>
    <w:basedOn w:val="DefaultParagraphFontPHPDOCX"/>
    <w:link w:val="QuotePHPDOCX"/>
    <w:uiPriority w:val="29"/>
    <w:qFormat/>
    <w:rPr>
      <w:i/>
      <w:iCs/>
      <w:color w:val="000000" w:themeColor="text1"/>
    </w:rPr>
  </w:style>
  <w:style w:type="paragraph" w:customStyle="1" w:styleId="IntenseQuotePHPDOCX">
    <w:name w:val="Intense Quote PHPDOCX"/>
    <w:basedOn w:val="Normal"/>
    <w:next w:val="Normal"/>
    <w:link w:val="IntenseQuoteCarPHPDOCX"/>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qFormat/>
    <w:rPr>
      <w:b/>
      <w:bCs/>
      <w:i/>
      <w:iCs/>
      <w:color w:val="4F81BD" w:themeColor="accent1"/>
    </w:rPr>
  </w:style>
  <w:style w:type="character" w:customStyle="1" w:styleId="SubtleReferencePHPDOCX">
    <w:name w:val="Subtle Reference PHPDOCX"/>
    <w:basedOn w:val="DefaultParagraphFontPHPDOCX"/>
    <w:uiPriority w:val="31"/>
    <w:qFormat/>
    <w:rPr>
      <w:smallCaps/>
      <w:color w:val="C0504D" w:themeColor="accent2"/>
      <w:u w:val="single"/>
    </w:rPr>
  </w:style>
  <w:style w:type="character" w:customStyle="1" w:styleId="IntenseReferencePHPDOCX">
    <w:name w:val="Intense Reference PHPDOCX"/>
    <w:basedOn w:val="DefaultParagraphFontPHPDOCX"/>
    <w:uiPriority w:val="32"/>
    <w:qFormat/>
    <w:rPr>
      <w:b/>
      <w:bCs/>
      <w:smallCaps/>
      <w:color w:val="C0504D" w:themeColor="accent2"/>
      <w:spacing w:val="5"/>
      <w:u w:val="single"/>
    </w:rPr>
  </w:style>
  <w:style w:type="character" w:customStyle="1" w:styleId="BookTitlePHPDOCX">
    <w:name w:val="Book Title PHPDOCX"/>
    <w:basedOn w:val="DefaultParagraphFontPHPDOCX"/>
    <w:uiPriority w:val="33"/>
    <w:qFormat/>
    <w:rPr>
      <w:b/>
      <w:bCs/>
      <w:smallCaps/>
      <w:spacing w:val="5"/>
    </w:rPr>
  </w:style>
  <w:style w:type="paragraph" w:customStyle="1" w:styleId="ListParagraphPHPDOCX">
    <w:name w:val="List Paragraph PHPDOCX"/>
    <w:basedOn w:val="Normal"/>
    <w:uiPriority w:val="34"/>
    <w:qFormat/>
    <w:pPr>
      <w:ind w:left="720"/>
      <w:contextualSpacing/>
    </w:pPr>
  </w:style>
  <w:style w:type="paragraph" w:customStyle="1" w:styleId="NoSpacingPHPDOCX">
    <w:name w:val="No Spacing PHPDOCX"/>
    <w:uiPriority w:val="1"/>
    <w:qFormat/>
    <w:pPr>
      <w:spacing w:after="0" w:line="240" w:lineRule="auto"/>
    </w:pPr>
    <w:rPr>
      <w:rFonts w:asciiTheme="minorHAnsi" w:eastAsiaTheme="minorHAnsi" w:hAnsiTheme="minorHAnsi" w:cstheme="minorBidi"/>
      <w:sz w:val="22"/>
      <w:szCs w:val="22"/>
      <w:lang w:val="en-US" w:eastAsia="en-US" w:bidi="ar-SA"/>
    </w:rPr>
  </w:style>
  <w:style w:type="character" w:customStyle="1" w:styleId="Heading8CarPHPDOCX">
    <w:name w:val="Heading 8 Car PHPDOCX"/>
    <w:basedOn w:val="DefaultParagraphFontPHPDOCX"/>
    <w:link w:val="Heading8PHPDOCX"/>
    <w:uiPriority w:val="9"/>
    <w:semiHidden/>
    <w:qFormat/>
    <w:rPr>
      <w:rFonts w:asciiTheme="majorHAnsi" w:eastAsiaTheme="majorEastAsia" w:hAnsiTheme="majorHAnsi" w:cstheme="majorBidi"/>
      <w:color w:val="3F3F3F" w:themeColor="text1" w:themeTint="BF"/>
      <w:sz w:val="20"/>
      <w:szCs w:val="20"/>
    </w:rPr>
  </w:style>
  <w:style w:type="character" w:customStyle="1" w:styleId="Heading9CarPHPDOCX">
    <w:name w:val="Heading 9 Car PHPDOCX"/>
    <w:basedOn w:val="DefaultParagraphFontPHPDOCX"/>
    <w:link w:val="Heading9PHPDOCX"/>
    <w:uiPriority w:val="9"/>
    <w:semiHidden/>
    <w:rPr>
      <w:rFonts w:asciiTheme="majorHAnsi" w:eastAsiaTheme="majorEastAsia" w:hAnsiTheme="majorHAnsi" w:cstheme="majorBidi"/>
      <w:i/>
      <w:iCs/>
      <w:color w:val="3F3F3F" w:themeColor="text1" w:themeTint="BF"/>
      <w:sz w:val="20"/>
      <w:szCs w:val="20"/>
    </w:rPr>
  </w:style>
  <w:style w:type="table" w:customStyle="1" w:styleId="NormalTablePHPDOCX">
    <w:name w:val="Normal Table PHPDOCX"/>
    <w:uiPriority w:val="99"/>
    <w:semiHidden/>
    <w:unhideWhenUsed/>
    <w:qFormat/>
    <w:tblPr>
      <w:tblCellMar>
        <w:top w:w="0" w:type="dxa"/>
        <w:left w:w="108" w:type="dxa"/>
        <w:bottom w:w="0" w:type="dxa"/>
        <w:right w:w="108" w:type="dxa"/>
      </w:tblCellMar>
    </w:tblPr>
  </w:style>
  <w:style w:type="table" w:customStyle="1" w:styleId="PlainTablePHPDOCX">
    <w:name w:val="Plain Table PHPDOCX"/>
    <w:uiPriority w:val="58"/>
    <w:qFormat/>
    <w:pPr>
      <w:spacing w:after="0" w:line="240" w:lineRule="auto"/>
    </w:pPr>
    <w:tblPr>
      <w:tblCellMar>
        <w:top w:w="0" w:type="dxa"/>
        <w:left w:w="108" w:type="dxa"/>
        <w:bottom w:w="0" w:type="dxa"/>
        <w:right w:w="108" w:type="dxa"/>
      </w:tblCellMar>
    </w:tblPr>
  </w:style>
  <w:style w:type="table" w:customStyle="1" w:styleId="TableGridPHPDOCX">
    <w:name w:val="Table Grid PHPDOCX"/>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qFormat/>
    <w:pPr>
      <w:spacing w:after="0" w:line="240" w:lineRule="auto"/>
    </w:pPr>
    <w:rPr>
      <w:color w:val="000000" w:themeColor="text1" w:themeShade="BF"/>
    </w:rPr>
    <w:tblPr>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LightShadingAccent1PHPDOCX">
    <w:name w:val="Light Shading Accent 1 PHPDOCX"/>
    <w:uiPriority w:val="60"/>
    <w:qFormat/>
    <w:pPr>
      <w:spacing w:after="0" w:line="240" w:lineRule="auto"/>
    </w:pPr>
    <w:rPr>
      <w:color w:val="366091" w:themeColor="accent1" w:themeShade="BF"/>
    </w:rPr>
    <w:tblPr>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hemeFill="accent1" w:themeFillTint="3F"/>
      </w:tcPr>
    </w:tblStylePr>
    <w:tblStylePr w:type="band1Horz">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qFormat/>
    <w:pPr>
      <w:spacing w:after="0" w:line="240" w:lineRule="auto"/>
    </w:pPr>
    <w:rPr>
      <w:color w:val="943734" w:themeColor="accent2" w:themeShade="BF"/>
    </w:rPr>
    <w:tblPr>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FD3D3" w:themeFill="accent2" w:themeFillTint="3F"/>
      </w:tcPr>
    </w:tblStylePr>
    <w:tblStylePr w:type="band1Horz">
      <w:tcPr>
        <w:tcBorders>
          <w:left w:val="nil"/>
          <w:right w:val="nil"/>
          <w:insideH w:val="nil"/>
          <w:insideV w:val="nil"/>
        </w:tcBorders>
        <w:shd w:val="clear" w:color="auto" w:fill="EFD3D3" w:themeFill="accent2" w:themeFillTint="3F"/>
      </w:tcPr>
    </w:tblStylePr>
  </w:style>
  <w:style w:type="table" w:customStyle="1" w:styleId="LightShadingAccent3PHPDOCX">
    <w:name w:val="Light Shading Accent 3 PHPDOCX"/>
    <w:uiPriority w:val="60"/>
    <w:pPr>
      <w:spacing w:after="0" w:line="240" w:lineRule="auto"/>
    </w:pPr>
    <w:rPr>
      <w:color w:val="76923C" w:themeColor="accent3" w:themeShade="BF"/>
    </w:rPr>
    <w:tblPr>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6EED5" w:themeFill="accent3" w:themeFillTint="3F"/>
      </w:tcPr>
    </w:tblStylePr>
    <w:tblStylePr w:type="band1Horz">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pPr>
      <w:spacing w:after="0" w:line="240" w:lineRule="auto"/>
    </w:pPr>
    <w:rPr>
      <w:color w:val="5F497A" w:themeColor="accent4" w:themeShade="BF"/>
    </w:rPr>
    <w:tblPr>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FD8E8" w:themeFill="accent4" w:themeFillTint="3F"/>
      </w:tcPr>
    </w:tblStylePr>
    <w:tblStylePr w:type="band1Horz">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pPr>
      <w:spacing w:after="0" w:line="240" w:lineRule="auto"/>
    </w:pPr>
    <w:rPr>
      <w:color w:val="31849B" w:themeColor="accent5" w:themeShade="BF"/>
    </w:rPr>
    <w:tblPr>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2EAF0" w:themeFill="accent5" w:themeFillTint="3F"/>
      </w:tcPr>
    </w:tblStylePr>
    <w:tblStylePr w:type="band1Horz">
      <w:tcPr>
        <w:tcBorders>
          <w:left w:val="nil"/>
          <w:right w:val="nil"/>
          <w:insideH w:val="nil"/>
          <w:insideV w:val="nil"/>
        </w:tcBorders>
        <w:shd w:val="clear" w:color="auto" w:fill="D2EAF0" w:themeFill="accent5" w:themeFillTint="3F"/>
      </w:tcPr>
    </w:tblStylePr>
  </w:style>
  <w:style w:type="table" w:customStyle="1" w:styleId="LightListPHPDOCX">
    <w:name w:val="Light List PHPDOCX"/>
    <w:uiPriority w:val="61"/>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000000" w:themeFill="text1"/>
      </w:tcPr>
    </w:tblStylePr>
    <w:tblStylePr w:type="lastRow">
      <w:pPr>
        <w:spacing w:before="0" w:after="0" w:line="240" w:lineRule="auto"/>
      </w:pPr>
      <w:rPr>
        <w:b/>
        <w:bCs/>
      </w:r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qFormat/>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4F81BD" w:themeFill="accent1"/>
      </w:tcPr>
    </w:tblStylePr>
    <w:tblStylePr w:type="lastRow">
      <w:pPr>
        <w:spacing w:before="0" w:after="0" w:line="240" w:lineRule="auto"/>
      </w:pPr>
      <w:rPr>
        <w:b/>
        <w:bCs/>
      </w:r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qFormat/>
    <w:pPr>
      <w:spacing w:after="0" w:line="240" w:lineRule="auto"/>
    </w:p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C0504D" w:themeFill="accent2"/>
      </w:tcPr>
    </w:tblStylePr>
    <w:tblStylePr w:type="lastRow">
      <w:pPr>
        <w:spacing w:before="0" w:after="0" w:line="240" w:lineRule="auto"/>
      </w:pPr>
      <w:rPr>
        <w:b/>
        <w:bCs/>
      </w:r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qFormat/>
    <w:pPr>
      <w:spacing w:after="0" w:line="240" w:lineRule="auto"/>
    </w:p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9BBB59" w:themeFill="accent3"/>
      </w:tcPr>
    </w:tblStylePr>
    <w:tblStylePr w:type="lastRow">
      <w:pPr>
        <w:spacing w:before="0" w:after="0" w:line="240" w:lineRule="auto"/>
      </w:pPr>
      <w:rPr>
        <w:b/>
        <w:bCs/>
      </w:r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qFormat/>
    <w:pPr>
      <w:spacing w:after="0" w:line="240" w:lineRule="auto"/>
    </w:p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8064A2" w:themeFill="accent4"/>
      </w:tcPr>
    </w:tblStylePr>
    <w:tblStylePr w:type="lastRow">
      <w:pPr>
        <w:spacing w:before="0" w:after="0" w:line="240" w:lineRule="auto"/>
      </w:pPr>
      <w:rPr>
        <w:b/>
        <w:bCs/>
      </w:r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qFormat/>
    <w:pPr>
      <w:spacing w:after="0" w:line="240" w:lineRule="auto"/>
    </w:p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4BACC6" w:themeFill="accent5"/>
      </w:tcPr>
    </w:tblStylePr>
    <w:tblStylePr w:type="lastRow">
      <w:pPr>
        <w:spacing w:before="0" w:after="0" w:line="240" w:lineRule="auto"/>
      </w:pPr>
      <w:rPr>
        <w:b/>
        <w:bCs/>
      </w:r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qFormat/>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F79646" w:themeFill="accent6"/>
      </w:tcPr>
    </w:tblStylePr>
    <w:tblStylePr w:type="lastRow">
      <w:pPr>
        <w:spacing w:before="0" w:after="0" w:line="240" w:lineRule="auto"/>
      </w:pPr>
      <w:rPr>
        <w:b/>
        <w:bCs/>
      </w: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text1" w:themeFillTint="3F"/>
      </w:tcPr>
    </w:tblStylePr>
    <w:tblStylePr w:type="band1Horz">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BFBFBF" w:themeFill="text1" w:themeFillTint="3F"/>
      </w:tcPr>
    </w:tblStylePr>
    <w:tblStylePr w:type="band2Horz">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customStyle="1" w:styleId="LightGrid1PHPDOCX">
    <w:name w:val="Light Grid 1 PHPDOCX"/>
    <w:uiPriority w:val="62"/>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customStyle="1" w:styleId="LightGrid2PHPDOCX">
    <w:name w:val="Light Grid 2 PHPDOCX"/>
    <w:uiPriority w:val="62"/>
    <w:pPr>
      <w:spacing w:after="0" w:line="240" w:lineRule="auto"/>
    </w:p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3" w:themeFill="accent2" w:themeFillTint="3F"/>
      </w:tcPr>
    </w:tblStylePr>
    <w:tblStylePr w:type="band1Horz">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3" w:themeFill="accent2" w:themeFillTint="3F"/>
      </w:tcPr>
    </w:tblStylePr>
    <w:tblStylePr w:type="band2Horz">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customStyle="1" w:styleId="LightGrid3PHPDOCX">
    <w:name w:val="Light Grid 3 PHPDOCX"/>
    <w:uiPriority w:val="62"/>
    <w:pPr>
      <w:spacing w:after="0" w:line="240" w:lineRule="auto"/>
    </w:p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LightGrid4PHPDOCX">
    <w:name w:val="Light Grid 4 PHPDOCX"/>
    <w:uiPriority w:val="62"/>
    <w:pPr>
      <w:spacing w:after="0" w:line="240" w:lineRule="auto"/>
    </w:p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customStyle="1" w:styleId="LightGrid5PHPDOCX">
    <w:name w:val="Light Grid 5 PHPDOCX"/>
    <w:uiPriority w:val="62"/>
    <w:pPr>
      <w:spacing w:after="0" w:line="240" w:lineRule="auto"/>
    </w:p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0" w:themeFill="accent5" w:themeFillTint="3F"/>
      </w:tcPr>
    </w:tblStylePr>
    <w:tblStylePr w:type="band1Horz">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0" w:themeFill="accent5" w:themeFillTint="3F"/>
      </w:tcPr>
    </w:tblStylePr>
    <w:tblStylePr w:type="band2Horz">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customStyle="1" w:styleId="LightGrid6PHPDOCX">
    <w:name w:val="Light Grid 6 PHPDOCX"/>
    <w:uiPriority w:val="62"/>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5D1" w:themeFill="accent6" w:themeFillTint="3F"/>
      </w:tcPr>
    </w:tblStylePr>
    <w:tblStylePr w:type="band1Horz">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5D1" w:themeFill="accent6" w:themeFillTint="3F"/>
      </w:tcPr>
    </w:tblStylePr>
    <w:tblStylePr w:type="band2Horz">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customStyle="1" w:styleId="MediumShading1PHPDOCX">
    <w:name w:val="Medium Shading 1 PHPDOCX"/>
    <w:uiPriority w:val="63"/>
    <w:pPr>
      <w:spacing w:after="0" w:line="240" w:lineRule="auto"/>
    </w:pPr>
    <w:tblPr>
      <w:tblBorders>
        <w:top w:val="single" w:sz="8" w:space="0" w:color="3F3F3F" w:themeColor="text1" w:themeTint="BF"/>
        <w:left w:val="single" w:sz="8" w:space="0" w:color="3F3F3F" w:themeColor="text1" w:themeTint="BF"/>
        <w:bottom w:val="single" w:sz="8" w:space="0" w:color="3F3F3F" w:themeColor="text1" w:themeTint="BF"/>
        <w:right w:val="single" w:sz="8" w:space="0" w:color="3F3F3F" w:themeColor="text1" w:themeTint="BF"/>
        <w:insideH w:val="single" w:sz="8" w:space="0" w:color="3F3F3F"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8" w:space="0" w:color="3F3F3F" w:themeColor="text1" w:themeTint="BF"/>
          <w:left w:val="single" w:sz="8" w:space="0" w:color="3F3F3F" w:themeColor="text1" w:themeTint="BF"/>
          <w:bottom w:val="single" w:sz="8" w:space="0" w:color="3F3F3F" w:themeColor="text1" w:themeTint="BF"/>
          <w:right w:val="single" w:sz="8" w:space="0" w:color="3F3F3F" w:themeColor="text1" w:themeTint="BF"/>
          <w:insideH w:val="nil"/>
          <w:insideV w:val="nil"/>
        </w:tcBorders>
        <w:shd w:val="clear" w:color="auto" w:fill="000000" w:themeFill="text1"/>
      </w:tcPr>
    </w:tblStylePr>
    <w:tblStylePr w:type="lastRow">
      <w:pPr>
        <w:spacing w:before="0" w:after="0" w:line="240" w:lineRule="auto"/>
      </w:pPr>
      <w:rPr>
        <w:b/>
        <w:bCs/>
      </w:rPr>
      <w:tcPr>
        <w:tcBorders>
          <w:top w:val="double" w:sz="6" w:space="0" w:color="3F3F3F" w:themeColor="text1" w:themeTint="BF"/>
          <w:left w:val="single" w:sz="8" w:space="0" w:color="3F3F3F" w:themeColor="text1" w:themeTint="BF"/>
          <w:bottom w:val="single" w:sz="8" w:space="0" w:color="3F3F3F" w:themeColor="text1" w:themeTint="BF"/>
          <w:right w:val="single" w:sz="8" w:space="0" w:color="3F3F3F" w:themeColor="text1" w:themeTint="BF"/>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MediumShading1Accent1PHPDOCX">
    <w:name w:val="Medium Shading 1 Accent 1 PHPDOCX"/>
    <w:uiPriority w:val="63"/>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cPr>
        <w:shd w:val="clear" w:color="auto" w:fill="D3DFEE" w:themeFill="accent1" w:themeFillTint="3F"/>
      </w:tcPr>
    </w:tblStylePr>
    <w:tblStylePr w:type="band1Horz">
      <w:tcPr>
        <w:tcBorders>
          <w:insideH w:val="nil"/>
          <w:insideV w:val="nil"/>
        </w:tcBorders>
        <w:shd w:val="clear" w:color="auto" w:fill="D3DFEE" w:themeFill="accent1" w:themeFillTint="3F"/>
      </w:tcPr>
    </w:tblStylePr>
    <w:tblStylePr w:type="band2Horz">
      <w:tcPr>
        <w:tcBorders>
          <w:insideH w:val="nil"/>
          <w:insideV w:val="nil"/>
        </w:tcBorders>
      </w:tcPr>
    </w:tblStylePr>
  </w:style>
  <w:style w:type="table" w:customStyle="1" w:styleId="MediumShading1Accent2PHPDOCX">
    <w:name w:val="Medium Shading 1 Accent 2 PHPDOCX"/>
    <w:uiPriority w:val="63"/>
    <w:pPr>
      <w:spacing w:after="0" w:line="240" w:lineRule="auto"/>
    </w:p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cPr>
        <w:shd w:val="clear" w:color="auto" w:fill="EFD3D3" w:themeFill="accent2" w:themeFillTint="3F"/>
      </w:tcPr>
    </w:tblStylePr>
    <w:tblStylePr w:type="band1Horz">
      <w:tcPr>
        <w:tcBorders>
          <w:insideH w:val="nil"/>
          <w:insideV w:val="nil"/>
        </w:tcBorders>
        <w:shd w:val="clear" w:color="auto" w:fill="EFD3D3" w:themeFill="accent2" w:themeFillTint="3F"/>
      </w:tcPr>
    </w:tblStylePr>
    <w:tblStylePr w:type="band2Horz">
      <w:tcPr>
        <w:tcBorders>
          <w:insideH w:val="nil"/>
          <w:insideV w:val="nil"/>
        </w:tcBorders>
      </w:tcPr>
    </w:tblStylePr>
  </w:style>
  <w:style w:type="table" w:customStyle="1" w:styleId="MediumShading1Accent3PHPDOCX">
    <w:name w:val="Medium Shading 1 Accent 3 PHPDOCX"/>
    <w:uiPriority w:val="63"/>
    <w:pPr>
      <w:spacing w:after="0" w:line="240" w:lineRule="auto"/>
    </w:pPr>
    <w:tblPr>
      <w:tblBorders>
        <w:top w:val="single" w:sz="8" w:space="0" w:color="B4CC82" w:themeColor="accent3" w:themeTint="BF"/>
        <w:left w:val="single" w:sz="8" w:space="0" w:color="B4CC82" w:themeColor="accent3" w:themeTint="BF"/>
        <w:bottom w:val="single" w:sz="8" w:space="0" w:color="B4CC82" w:themeColor="accent3" w:themeTint="BF"/>
        <w:right w:val="single" w:sz="8" w:space="0" w:color="B4CC82" w:themeColor="accent3" w:themeTint="BF"/>
        <w:insideH w:val="single" w:sz="8" w:space="0" w:color="B4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8" w:space="0" w:color="B4CC82" w:themeColor="accent3" w:themeTint="BF"/>
          <w:left w:val="single" w:sz="8" w:space="0" w:color="B4CC82" w:themeColor="accent3" w:themeTint="BF"/>
          <w:bottom w:val="single" w:sz="8" w:space="0" w:color="B4CC82" w:themeColor="accent3" w:themeTint="BF"/>
          <w:right w:val="single" w:sz="8" w:space="0" w:color="B4CC82" w:themeColor="accent3" w:themeTint="BF"/>
          <w:insideH w:val="nil"/>
          <w:insideV w:val="nil"/>
        </w:tcBorders>
        <w:shd w:val="clear" w:color="auto" w:fill="9BBB59" w:themeFill="accent3"/>
      </w:tcPr>
    </w:tblStylePr>
    <w:tblStylePr w:type="lastRow">
      <w:pPr>
        <w:spacing w:before="0" w:after="0" w:line="240" w:lineRule="auto"/>
      </w:pPr>
      <w:rPr>
        <w:b/>
        <w:bCs/>
      </w:rPr>
      <w:tcPr>
        <w:tcBorders>
          <w:top w:val="double" w:sz="6" w:space="0" w:color="B4CC82" w:themeColor="accent3" w:themeTint="BF"/>
          <w:left w:val="single" w:sz="8" w:space="0" w:color="B4CC82" w:themeColor="accent3" w:themeTint="BF"/>
          <w:bottom w:val="single" w:sz="8" w:space="0" w:color="B4CC82" w:themeColor="accent3" w:themeTint="BF"/>
          <w:right w:val="single" w:sz="8" w:space="0" w:color="B4CC82" w:themeColor="accent3" w:themeTint="BF"/>
          <w:insideH w:val="nil"/>
          <w:insideV w:val="nil"/>
        </w:tcBorders>
      </w:tcPr>
    </w:tblStylePr>
    <w:tblStylePr w:type="firstCol">
      <w:rPr>
        <w:b/>
        <w:bCs/>
      </w:rPr>
    </w:tblStylePr>
    <w:tblStylePr w:type="lastCol">
      <w:rPr>
        <w:b/>
        <w:bCs/>
      </w:rPr>
    </w:tblStylePr>
    <w:tblStylePr w:type="band1Vert">
      <w:tcPr>
        <w:shd w:val="clear" w:color="auto" w:fill="E6EED5" w:themeFill="accent3" w:themeFillTint="3F"/>
      </w:tcPr>
    </w:tblStylePr>
    <w:tblStylePr w:type="band1Horz">
      <w:tcPr>
        <w:tcBorders>
          <w:insideH w:val="nil"/>
          <w:insideV w:val="nil"/>
        </w:tcBorders>
        <w:shd w:val="clear" w:color="auto" w:fill="E6EED5" w:themeFill="accent3" w:themeFillTint="3F"/>
      </w:tcPr>
    </w:tblStylePr>
    <w:tblStylePr w:type="band2Horz">
      <w:tcPr>
        <w:tcBorders>
          <w:insideH w:val="nil"/>
          <w:insideV w:val="nil"/>
        </w:tcBorders>
      </w:tcPr>
    </w:tblStylePr>
  </w:style>
  <w:style w:type="table" w:customStyle="1" w:styleId="MediumShading1Accent4PHPDOCX">
    <w:name w:val="Medium Shading 1 Accent 4 PHPDOCX"/>
    <w:uiPriority w:val="63"/>
    <w:pPr>
      <w:spacing w:after="0" w:line="240" w:lineRule="auto"/>
    </w:p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cPr>
        <w:shd w:val="clear" w:color="auto" w:fill="DFD8E8" w:themeFill="accent4" w:themeFillTint="3F"/>
      </w:tcPr>
    </w:tblStylePr>
    <w:tblStylePr w:type="band1Horz">
      <w:tcPr>
        <w:tcBorders>
          <w:insideH w:val="nil"/>
          <w:insideV w:val="nil"/>
        </w:tcBorders>
        <w:shd w:val="clear" w:color="auto" w:fill="DFD8E8" w:themeFill="accent4" w:themeFillTint="3F"/>
      </w:tcPr>
    </w:tblStylePr>
    <w:tblStylePr w:type="band2Horz">
      <w:tcPr>
        <w:tcBorders>
          <w:insideH w:val="nil"/>
          <w:insideV w:val="nil"/>
        </w:tcBorders>
      </w:tcPr>
    </w:tblStylePr>
  </w:style>
  <w:style w:type="table" w:customStyle="1" w:styleId="MediumShading1Accent5PHPDOCX">
    <w:name w:val="Medium Shading 1 Accent 5 PHPDOCX"/>
    <w:uiPriority w:val="63"/>
    <w:pPr>
      <w:spacing w:after="0" w:line="240" w:lineRule="auto"/>
    </w:p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cPr>
        <w:shd w:val="clear" w:color="auto" w:fill="D2EAF0" w:themeFill="accent5" w:themeFillTint="3F"/>
      </w:tcPr>
    </w:tblStylePr>
    <w:tblStylePr w:type="band1Horz">
      <w:tcPr>
        <w:tcBorders>
          <w:insideH w:val="nil"/>
          <w:insideV w:val="nil"/>
        </w:tcBorders>
        <w:shd w:val="clear" w:color="auto" w:fill="D2EAF0" w:themeFill="accent5" w:themeFillTint="3F"/>
      </w:tcPr>
    </w:tblStylePr>
    <w:tblStylePr w:type="band2Horz">
      <w:tcPr>
        <w:tcBorders>
          <w:insideH w:val="nil"/>
          <w:insideV w:val="nil"/>
        </w:tcBorders>
      </w:tcPr>
    </w:tblStylePr>
  </w:style>
  <w:style w:type="table" w:customStyle="1" w:styleId="MediumShading1Accent6PHPDOCX">
    <w:name w:val="Medium Shading 1 Accent 6 PHPDOCX"/>
    <w:uiPriority w:val="63"/>
    <w:pPr>
      <w:spacing w:after="0" w:line="240" w:lineRule="auto"/>
    </w:p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cPr>
        <w:shd w:val="clear" w:color="auto" w:fill="FDE5D1" w:themeFill="accent6" w:themeFillTint="3F"/>
      </w:tcPr>
    </w:tblStylePr>
    <w:tblStylePr w:type="band1Horz">
      <w:tcPr>
        <w:tcBorders>
          <w:insideH w:val="nil"/>
          <w:insideV w:val="nil"/>
        </w:tcBorders>
        <w:shd w:val="clear" w:color="auto" w:fill="FDE5D1" w:themeFill="accent6" w:themeFillTint="3F"/>
      </w:tcPr>
    </w:tblStylePr>
    <w:tblStylePr w:type="band2Horz">
      <w:tcPr>
        <w:tcBorders>
          <w:insideH w:val="nil"/>
          <w:insideV w:val="nil"/>
        </w:tcBorders>
      </w:tcPr>
    </w:tblStylePr>
  </w:style>
  <w:style w:type="table" w:customStyle="1" w:styleId="MediumShading2PHPDOCX">
    <w:name w:val="Medium Shading 2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sz="18" w:space="0" w:color="auto"/>
          <w:left w:val="nil"/>
          <w:bottom w:val="single" w:sz="18" w:space="0" w:color="auto"/>
          <w:right w:val="nil"/>
          <w:insideH w:val="nil"/>
          <w:insideV w:val="nil"/>
        </w:tcBorders>
      </w:tcPr>
    </w:tblStylePr>
    <w:tblStylePr w:type="nwCell">
      <w:rPr>
        <w:color w:val="FFFFFF" w:themeColor="background1"/>
      </w:r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cPr>
        <w:tcBorders>
          <w:left w:val="nil"/>
          <w:right w:val="nil"/>
          <w:insideH w:val="nil"/>
          <w:insideV w:val="nil"/>
        </w:tcBorders>
        <w:shd w:val="clear" w:color="auto" w:fill="4F81BD"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sz="18" w:space="0" w:color="auto"/>
          <w:left w:val="nil"/>
          <w:bottom w:val="single" w:sz="18" w:space="0" w:color="auto"/>
          <w:right w:val="nil"/>
          <w:insideH w:val="nil"/>
          <w:insideV w:val="nil"/>
        </w:tcBorders>
      </w:tcPr>
    </w:tblStylePr>
    <w:tblStylePr w:type="nwCell">
      <w:rPr>
        <w:color w:val="FFFFFF" w:themeColor="background1"/>
      </w:r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cPr>
        <w:tcBorders>
          <w:left w:val="nil"/>
          <w:right w:val="nil"/>
          <w:insideH w:val="nil"/>
          <w:insideV w:val="nil"/>
        </w:tcBorders>
        <w:shd w:val="clear" w:color="auto" w:fill="C0504D" w:themeFill="accent2"/>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sz="18" w:space="0" w:color="auto"/>
          <w:left w:val="nil"/>
          <w:bottom w:val="single" w:sz="18" w:space="0" w:color="auto"/>
          <w:right w:val="nil"/>
          <w:insideH w:val="nil"/>
          <w:insideV w:val="nil"/>
        </w:tcBorders>
      </w:tcPr>
    </w:tblStylePr>
    <w:tblStylePr w:type="nwCell">
      <w:rPr>
        <w:color w:val="FFFFFF" w:themeColor="background1"/>
      </w:r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cPr>
        <w:tcBorders>
          <w:left w:val="nil"/>
          <w:right w:val="nil"/>
          <w:insideH w:val="nil"/>
          <w:insideV w:val="nil"/>
        </w:tcBorders>
        <w:shd w:val="clear" w:color="auto" w:fill="9BBB59" w:themeFill="accent3"/>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sz="18" w:space="0" w:color="auto"/>
          <w:left w:val="nil"/>
          <w:bottom w:val="single" w:sz="18" w:space="0" w:color="auto"/>
          <w:right w:val="nil"/>
          <w:insideH w:val="nil"/>
          <w:insideV w:val="nil"/>
        </w:tcBorders>
      </w:tcPr>
    </w:tblStylePr>
    <w:tblStylePr w:type="nwCell">
      <w:rPr>
        <w:color w:val="FFFFFF" w:themeColor="background1"/>
      </w:r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cPr>
        <w:tcBorders>
          <w:left w:val="nil"/>
          <w:right w:val="nil"/>
          <w:insideH w:val="nil"/>
          <w:insideV w:val="nil"/>
        </w:tcBorders>
        <w:shd w:val="clear" w:color="auto" w:fill="8064A2" w:themeFill="accent4"/>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sz="18" w:space="0" w:color="auto"/>
          <w:left w:val="nil"/>
          <w:bottom w:val="single" w:sz="18" w:space="0" w:color="auto"/>
          <w:right w:val="nil"/>
          <w:insideH w:val="nil"/>
          <w:insideV w:val="nil"/>
        </w:tcBorders>
      </w:tcPr>
    </w:tblStylePr>
    <w:tblStylePr w:type="nwCell">
      <w:rPr>
        <w:color w:val="FFFFFF" w:themeColor="background1"/>
      </w:r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cPr>
        <w:tcBorders>
          <w:left w:val="nil"/>
          <w:right w:val="nil"/>
          <w:insideH w:val="nil"/>
          <w:insideV w:val="nil"/>
        </w:tcBorders>
        <w:shd w:val="clear" w:color="auto" w:fill="4BACC6" w:themeFill="accent5"/>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sz="18" w:space="0" w:color="auto"/>
          <w:left w:val="nil"/>
          <w:bottom w:val="single" w:sz="18" w:space="0" w:color="auto"/>
          <w:right w:val="nil"/>
          <w:insideH w:val="nil"/>
          <w:insideV w:val="nil"/>
        </w:tcBorders>
      </w:tcPr>
    </w:tblStylePr>
    <w:tblStylePr w:type="nwCell">
      <w:rPr>
        <w:color w:val="FFFFFF" w:themeColor="background1"/>
      </w:r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cPr>
        <w:tcBorders>
          <w:left w:val="nil"/>
          <w:right w:val="nil"/>
          <w:insideH w:val="nil"/>
          <w:insideV w:val="nil"/>
        </w:tcBorders>
        <w:shd w:val="clear" w:color="auto" w:fill="F79646" w:themeFill="accent6"/>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sz="18" w:space="0" w:color="auto"/>
          <w:left w:val="nil"/>
          <w:bottom w:val="single" w:sz="18" w:space="0" w:color="auto"/>
          <w:right w:val="nil"/>
          <w:insideH w:val="nil"/>
          <w:insideV w:val="nil"/>
        </w:tcBorders>
      </w:tcPr>
    </w:tblStylePr>
    <w:tblStylePr w:type="nwCell">
      <w:rPr>
        <w:color w:val="FFFFFF" w:themeColor="background1"/>
      </w:r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qFormat/>
    <w:pPr>
      <w:spacing w:after="0" w:line="240" w:lineRule="auto"/>
    </w:pPr>
    <w:rPr>
      <w:color w:val="000000" w:themeColor="text1"/>
    </w:rPr>
    <w:tblPr>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cPr>
        <w:tcBorders>
          <w:top w:val="nil"/>
          <w:bottom w:val="single" w:sz="8" w:space="0" w:color="000000" w:themeColor="text1"/>
        </w:tcBorders>
      </w:tcPr>
    </w:tblStylePr>
    <w:tblStylePr w:type="lastRow">
      <w:rPr>
        <w:b/>
        <w:bCs/>
        <w:color w:val="1F497D" w:themeColor="text2"/>
      </w:rPr>
      <w:tcPr>
        <w:tcBorders>
          <w:top w:val="single" w:sz="8" w:space="0" w:color="000000" w:themeColor="text1"/>
          <w:bottom w:val="single" w:sz="8" w:space="0" w:color="000000" w:themeColor="text1"/>
        </w:tcBorders>
      </w:tcPr>
    </w:tblStylePr>
    <w:tblStylePr w:type="firstCol">
      <w:rPr>
        <w:b/>
        <w:bCs/>
      </w:rPr>
    </w:tblStylePr>
    <w:tblStylePr w:type="lastCol">
      <w:rPr>
        <w:b/>
        <w:bCs/>
      </w:rPr>
      <w:tcPr>
        <w:tcBorders>
          <w:top w:val="single" w:sz="8" w:space="0" w:color="000000" w:themeColor="text1"/>
          <w:bottom w:val="single" w:sz="8" w:space="0" w:color="000000" w:themeColor="text1"/>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MediumList1Accent1PHPDOCX">
    <w:name w:val="Medium List 1 Accent 1 PHPDOCX"/>
    <w:uiPriority w:val="65"/>
    <w:qFormat/>
    <w:pPr>
      <w:spacing w:after="0" w:line="240" w:lineRule="auto"/>
    </w:pPr>
    <w:rPr>
      <w:color w:val="000000" w:themeColor="text1"/>
    </w:rPr>
    <w:tblPr>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cPr>
        <w:tcBorders>
          <w:top w:val="nil"/>
          <w:bottom w:val="single" w:sz="8" w:space="0" w:color="4F81BD" w:themeColor="accent1"/>
        </w:tcBorders>
      </w:tcPr>
    </w:tblStylePr>
    <w:tblStylePr w:type="lastRow">
      <w:rPr>
        <w:b/>
        <w:bCs/>
        <w:color w:val="1F497D" w:themeColor="text2"/>
      </w:rPr>
      <w:tcPr>
        <w:tcBorders>
          <w:top w:val="single" w:sz="8" w:space="0" w:color="4F81BD" w:themeColor="accent1"/>
          <w:bottom w:val="single" w:sz="8" w:space="0" w:color="4F81BD" w:themeColor="accent1"/>
        </w:tcBorders>
      </w:tcPr>
    </w:tblStylePr>
    <w:tblStylePr w:type="firstCol">
      <w:rPr>
        <w:b/>
        <w:bCs/>
      </w:rPr>
    </w:tblStylePr>
    <w:tblStylePr w:type="lastCol">
      <w:rPr>
        <w:b/>
        <w:bCs/>
      </w:rPr>
      <w:tcPr>
        <w:tcBorders>
          <w:top w:val="single" w:sz="8" w:space="0" w:color="4F81BD" w:themeColor="accent1"/>
          <w:bottom w:val="single" w:sz="8" w:space="0" w:color="4F81BD" w:themeColor="accent1"/>
        </w:tcBorders>
      </w:tcPr>
    </w:tblStylePr>
    <w:tblStylePr w:type="band1Vert">
      <w:tcPr>
        <w:shd w:val="clear" w:color="auto" w:fill="D3DFEE" w:themeFill="accent1" w:themeFillTint="3F"/>
      </w:tcPr>
    </w:tblStylePr>
    <w:tblStylePr w:type="band1Horz">
      <w:tcPr>
        <w:shd w:val="clear" w:color="auto" w:fill="D3DFEE" w:themeFill="accent1" w:themeFillTint="3F"/>
      </w:tcPr>
    </w:tblStylePr>
  </w:style>
  <w:style w:type="table" w:customStyle="1" w:styleId="MediumList1Accent2PHPDOCX">
    <w:name w:val="Medium List 1 Accent 2 PHPDOCX"/>
    <w:uiPriority w:val="65"/>
    <w:qFormat/>
    <w:pPr>
      <w:spacing w:after="0" w:line="240" w:lineRule="auto"/>
    </w:pPr>
    <w:rPr>
      <w:color w:val="000000" w:themeColor="text1"/>
    </w:rPr>
    <w:tblPr>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cPr>
        <w:tcBorders>
          <w:top w:val="nil"/>
          <w:bottom w:val="single" w:sz="8" w:space="0" w:color="C0504D" w:themeColor="accent2"/>
        </w:tcBorders>
      </w:tcPr>
    </w:tblStylePr>
    <w:tblStylePr w:type="lastRow">
      <w:rPr>
        <w:b/>
        <w:bCs/>
        <w:color w:val="1F497D" w:themeColor="text2"/>
      </w:rPr>
      <w:tcPr>
        <w:tcBorders>
          <w:top w:val="single" w:sz="8" w:space="0" w:color="C0504D" w:themeColor="accent2"/>
          <w:bottom w:val="single" w:sz="8" w:space="0" w:color="C0504D" w:themeColor="accent2"/>
        </w:tcBorders>
      </w:tcPr>
    </w:tblStylePr>
    <w:tblStylePr w:type="firstCol">
      <w:rPr>
        <w:b/>
        <w:bCs/>
      </w:rPr>
    </w:tblStylePr>
    <w:tblStylePr w:type="lastCol">
      <w:rPr>
        <w:b/>
        <w:bCs/>
      </w:rPr>
      <w:tcPr>
        <w:tcBorders>
          <w:top w:val="single" w:sz="8" w:space="0" w:color="C0504D" w:themeColor="accent2"/>
          <w:bottom w:val="single" w:sz="8" w:space="0" w:color="C0504D" w:themeColor="accent2"/>
        </w:tcBorders>
      </w:tcPr>
    </w:tblStylePr>
    <w:tblStylePr w:type="band1Vert">
      <w:tcPr>
        <w:shd w:val="clear" w:color="auto" w:fill="EFD3D3" w:themeFill="accent2" w:themeFillTint="3F"/>
      </w:tcPr>
    </w:tblStylePr>
    <w:tblStylePr w:type="band1Horz">
      <w:tcPr>
        <w:shd w:val="clear" w:color="auto" w:fill="EFD3D3" w:themeFill="accent2" w:themeFillTint="3F"/>
      </w:tcPr>
    </w:tblStylePr>
  </w:style>
  <w:style w:type="table" w:customStyle="1" w:styleId="MediumList1Accent3PHPDOCX">
    <w:name w:val="Medium List 1 Accent 3 PHPDOCX"/>
    <w:uiPriority w:val="65"/>
    <w:qFormat/>
    <w:pPr>
      <w:spacing w:after="0" w:line="240" w:lineRule="auto"/>
    </w:pPr>
    <w:rPr>
      <w:color w:val="000000" w:themeColor="text1"/>
    </w:rPr>
    <w:tblPr>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cPr>
        <w:tcBorders>
          <w:top w:val="nil"/>
          <w:bottom w:val="single" w:sz="8" w:space="0" w:color="9BBB59" w:themeColor="accent3"/>
        </w:tcBorders>
      </w:tcPr>
    </w:tblStylePr>
    <w:tblStylePr w:type="lastRow">
      <w:rPr>
        <w:b/>
        <w:bCs/>
        <w:color w:val="1F497D" w:themeColor="text2"/>
      </w:rPr>
      <w:tcPr>
        <w:tcBorders>
          <w:top w:val="single" w:sz="8" w:space="0" w:color="9BBB59" w:themeColor="accent3"/>
          <w:bottom w:val="single" w:sz="8" w:space="0" w:color="9BBB59" w:themeColor="accent3"/>
        </w:tcBorders>
      </w:tcPr>
    </w:tblStylePr>
    <w:tblStylePr w:type="firstCol">
      <w:rPr>
        <w:b/>
        <w:bCs/>
      </w:rPr>
    </w:tblStylePr>
    <w:tblStylePr w:type="lastCol">
      <w:rPr>
        <w:b/>
        <w:bCs/>
      </w:rPr>
      <w:tcPr>
        <w:tcBorders>
          <w:top w:val="single" w:sz="8" w:space="0" w:color="9BBB59" w:themeColor="accent3"/>
          <w:bottom w:val="single" w:sz="8" w:space="0" w:color="9BBB59" w:themeColor="accent3"/>
        </w:tcBorders>
      </w:tcPr>
    </w:tblStylePr>
    <w:tblStylePr w:type="band1Vert">
      <w:tcPr>
        <w:shd w:val="clear" w:color="auto" w:fill="E6EED5" w:themeFill="accent3" w:themeFillTint="3F"/>
      </w:tcPr>
    </w:tblStylePr>
    <w:tblStylePr w:type="band1Horz">
      <w:tcPr>
        <w:shd w:val="clear" w:color="auto" w:fill="E6EED5" w:themeFill="accent3" w:themeFillTint="3F"/>
      </w:tcPr>
    </w:tblStylePr>
  </w:style>
  <w:style w:type="table" w:customStyle="1" w:styleId="MediumList1Accent4PHPDOCX">
    <w:name w:val="Medium List 1 Accent 4 PHPDOCX"/>
    <w:uiPriority w:val="65"/>
    <w:qFormat/>
    <w:pPr>
      <w:spacing w:after="0" w:line="240" w:lineRule="auto"/>
    </w:pPr>
    <w:rPr>
      <w:color w:val="000000" w:themeColor="text1"/>
    </w:rPr>
    <w:tblPr>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cPr>
        <w:tcBorders>
          <w:top w:val="nil"/>
          <w:bottom w:val="single" w:sz="8" w:space="0" w:color="8064A2" w:themeColor="accent4"/>
        </w:tcBorders>
      </w:tcPr>
    </w:tblStylePr>
    <w:tblStylePr w:type="lastRow">
      <w:rPr>
        <w:b/>
        <w:bCs/>
        <w:color w:val="1F497D" w:themeColor="text2"/>
      </w:rPr>
      <w:tcPr>
        <w:tcBorders>
          <w:top w:val="single" w:sz="8" w:space="0" w:color="8064A2" w:themeColor="accent4"/>
          <w:bottom w:val="single" w:sz="8" w:space="0" w:color="8064A2" w:themeColor="accent4"/>
        </w:tcBorders>
      </w:tcPr>
    </w:tblStylePr>
    <w:tblStylePr w:type="firstCol">
      <w:rPr>
        <w:b/>
        <w:bCs/>
      </w:rPr>
    </w:tblStylePr>
    <w:tblStylePr w:type="lastCol">
      <w:rPr>
        <w:b/>
        <w:bCs/>
      </w:rPr>
      <w:tcPr>
        <w:tcBorders>
          <w:top w:val="single" w:sz="8" w:space="0" w:color="8064A2" w:themeColor="accent4"/>
          <w:bottom w:val="single" w:sz="8" w:space="0" w:color="8064A2" w:themeColor="accent4"/>
        </w:tcBorders>
      </w:tcPr>
    </w:tblStylePr>
    <w:tblStylePr w:type="band1Vert">
      <w:tcPr>
        <w:shd w:val="clear" w:color="auto" w:fill="DFD8E8" w:themeFill="accent4" w:themeFillTint="3F"/>
      </w:tcPr>
    </w:tblStylePr>
    <w:tblStylePr w:type="band1Horz">
      <w:tcPr>
        <w:shd w:val="clear" w:color="auto" w:fill="DFD8E8" w:themeFill="accent4" w:themeFillTint="3F"/>
      </w:tcPr>
    </w:tblStylePr>
  </w:style>
  <w:style w:type="table" w:customStyle="1" w:styleId="MediumList1Accent5PHPDOCX">
    <w:name w:val="Medium List 1 Accent 5 PHPDOCX"/>
    <w:uiPriority w:val="65"/>
    <w:qFormat/>
    <w:pPr>
      <w:spacing w:after="0" w:line="240" w:lineRule="auto"/>
    </w:pPr>
    <w:rPr>
      <w:color w:val="000000" w:themeColor="text1"/>
    </w:rPr>
    <w:tblPr>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cPr>
        <w:tcBorders>
          <w:top w:val="nil"/>
          <w:bottom w:val="single" w:sz="8" w:space="0" w:color="4BACC6" w:themeColor="accent5"/>
        </w:tcBorders>
      </w:tcPr>
    </w:tblStylePr>
    <w:tblStylePr w:type="lastRow">
      <w:rPr>
        <w:b/>
        <w:bCs/>
        <w:color w:val="1F497D" w:themeColor="text2"/>
      </w:rPr>
      <w:tcPr>
        <w:tcBorders>
          <w:top w:val="single" w:sz="8" w:space="0" w:color="4BACC6" w:themeColor="accent5"/>
          <w:bottom w:val="single" w:sz="8" w:space="0" w:color="4BACC6" w:themeColor="accent5"/>
        </w:tcBorders>
      </w:tcPr>
    </w:tblStylePr>
    <w:tblStylePr w:type="firstCol">
      <w:rPr>
        <w:b/>
        <w:bCs/>
      </w:rPr>
    </w:tblStylePr>
    <w:tblStylePr w:type="lastCol">
      <w:rPr>
        <w:b/>
        <w:bCs/>
      </w:rPr>
      <w:tcPr>
        <w:tcBorders>
          <w:top w:val="single" w:sz="8" w:space="0" w:color="4BACC6" w:themeColor="accent5"/>
          <w:bottom w:val="single" w:sz="8" w:space="0" w:color="4BACC6" w:themeColor="accent5"/>
        </w:tcBorders>
      </w:tcPr>
    </w:tblStylePr>
    <w:tblStylePr w:type="band1Vert">
      <w:tcPr>
        <w:shd w:val="clear" w:color="auto" w:fill="D2EAF0" w:themeFill="accent5" w:themeFillTint="3F"/>
      </w:tcPr>
    </w:tblStylePr>
    <w:tblStylePr w:type="band1Horz">
      <w:tcPr>
        <w:shd w:val="clear" w:color="auto" w:fill="D2EAF0" w:themeFill="accent5" w:themeFillTint="3F"/>
      </w:tcPr>
    </w:tblStylePr>
  </w:style>
  <w:style w:type="table" w:customStyle="1" w:styleId="MediumList1Accent6PHPDOCX">
    <w:name w:val="Medium List 1 Accent 6 PHPDOCX"/>
    <w:uiPriority w:val="65"/>
    <w:qFormat/>
    <w:pPr>
      <w:spacing w:after="0" w:line="240" w:lineRule="auto"/>
    </w:pPr>
    <w:rPr>
      <w:color w:val="000000" w:themeColor="text1"/>
    </w:rPr>
    <w:tblPr>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cPr>
        <w:tcBorders>
          <w:top w:val="nil"/>
          <w:bottom w:val="single" w:sz="8" w:space="0" w:color="F79646" w:themeColor="accent6"/>
        </w:tcBorders>
      </w:tcPr>
    </w:tblStylePr>
    <w:tblStylePr w:type="lastRow">
      <w:rPr>
        <w:b/>
        <w:bCs/>
        <w:color w:val="1F497D" w:themeColor="text2"/>
      </w:rPr>
      <w:tcPr>
        <w:tcBorders>
          <w:top w:val="single" w:sz="8" w:space="0" w:color="F79646" w:themeColor="accent6"/>
          <w:bottom w:val="single" w:sz="8" w:space="0" w:color="F79646" w:themeColor="accent6"/>
        </w:tcBorders>
      </w:tcPr>
    </w:tblStylePr>
    <w:tblStylePr w:type="firstCol">
      <w:rPr>
        <w:b/>
        <w:bCs/>
      </w:rPr>
    </w:tblStylePr>
    <w:tblStylePr w:type="lastCol">
      <w:rPr>
        <w:b/>
        <w:bCs/>
      </w:rPr>
      <w:tcPr>
        <w:tcBorders>
          <w:top w:val="single" w:sz="8" w:space="0" w:color="F79646" w:themeColor="accent6"/>
          <w:bottom w:val="single" w:sz="8" w:space="0" w:color="F79646" w:themeColor="accent6"/>
        </w:tcBorders>
      </w:tcPr>
    </w:tblStylePr>
    <w:tblStylePr w:type="band1Vert">
      <w:tcPr>
        <w:shd w:val="clear" w:color="auto" w:fill="FDE5D1" w:themeFill="accent6" w:themeFillTint="3F"/>
      </w:tcPr>
    </w:tblStylePr>
    <w:tblStylePr w:type="band1Horz">
      <w:tcPr>
        <w:shd w:val="clear" w:color="auto" w:fill="FDE5D1" w:themeFill="accent6" w:themeFillTint="3F"/>
      </w:tcPr>
    </w:tblStylePr>
  </w:style>
  <w:style w:type="table" w:customStyle="1" w:styleId="MediumList2PHPDOCX">
    <w:name w:val="Medium List 2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cPr>
        <w:tcBorders>
          <w:top w:val="nil"/>
          <w:left w:val="nil"/>
          <w:bottom w:val="single" w:sz="24" w:space="0" w:color="000000" w:themeColor="text1"/>
          <w:right w:val="nil"/>
          <w:insideH w:val="nil"/>
          <w:insideV w:val="nil"/>
        </w:tcBorders>
        <w:shd w:val="clear" w:color="auto" w:fill="FFFFFF" w:themeFill="background1"/>
      </w:tcPr>
    </w:tblStylePr>
    <w:tblStylePr w:type="lastRow">
      <w:tcPr>
        <w:tcBorders>
          <w:top w:val="single" w:sz="8" w:space="0" w:color="000000" w:themeColor="text1"/>
          <w:left w:val="nil"/>
          <w:bottom w:val="nil"/>
          <w:right w:val="nil"/>
          <w:insideH w:val="nil"/>
          <w:insideV w:val="nil"/>
        </w:tcBorders>
        <w:shd w:val="clear" w:color="auto" w:fill="FFFFFF" w:themeFill="background1"/>
      </w:tcPr>
    </w:tblStylePr>
    <w:tblStylePr w:type="firstCol">
      <w:tcPr>
        <w:tcBorders>
          <w:top w:val="nil"/>
          <w:left w:val="nil"/>
          <w:bottom w:val="nil"/>
          <w:right w:val="single" w:sz="8" w:space="0" w:color="000000" w:themeColor="text1"/>
          <w:insideH w:val="nil"/>
          <w:insideV w:val="nil"/>
        </w:tcBorders>
        <w:shd w:val="clear" w:color="auto" w:fill="FFFFFF" w:themeFill="background1"/>
      </w:tcPr>
    </w:tblStylePr>
    <w:tblStylePr w:type="lastCol">
      <w:tcPr>
        <w:tcBorders>
          <w:top w:val="nil"/>
          <w:left w:val="single" w:sz="8" w:space="0" w:color="000000" w:themeColor="text1"/>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MediumList2Accent1PHPDOCX">
    <w:name w:val="Medium List 2 Accent 1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cPr>
        <w:tcBorders>
          <w:top w:val="nil"/>
          <w:left w:val="nil"/>
          <w:bottom w:val="single" w:sz="24" w:space="0" w:color="4F81BD" w:themeColor="accent1"/>
          <w:right w:val="nil"/>
          <w:insideH w:val="nil"/>
          <w:insideV w:val="nil"/>
        </w:tcBorders>
        <w:shd w:val="clear" w:color="auto" w:fill="FFFFFF" w:themeFill="background1"/>
      </w:tcPr>
    </w:tblStylePr>
    <w:tblStylePr w:type="lastRow">
      <w:tcPr>
        <w:tcBorders>
          <w:top w:val="single" w:sz="8" w:space="0" w:color="4F81BD" w:themeColor="accent1"/>
          <w:left w:val="nil"/>
          <w:bottom w:val="nil"/>
          <w:right w:val="nil"/>
          <w:insideH w:val="nil"/>
          <w:insideV w:val="nil"/>
        </w:tcBorders>
        <w:shd w:val="clear" w:color="auto" w:fill="FFFFFF" w:themeFill="background1"/>
      </w:tcPr>
    </w:tblStylePr>
    <w:tblStylePr w:type="firstCol">
      <w:tcPr>
        <w:tcBorders>
          <w:top w:val="nil"/>
          <w:left w:val="nil"/>
          <w:bottom w:val="nil"/>
          <w:right w:val="single" w:sz="8" w:space="0" w:color="4F81BD" w:themeColor="accent1"/>
          <w:insideH w:val="nil"/>
          <w:insideV w:val="nil"/>
        </w:tcBorders>
        <w:shd w:val="clear" w:color="auto" w:fill="FFFFFF" w:themeFill="background1"/>
      </w:tcPr>
    </w:tblStylePr>
    <w:tblStylePr w:type="lastCol">
      <w:tcPr>
        <w:tcBorders>
          <w:top w:val="nil"/>
          <w:left w:val="single" w:sz="8" w:space="0" w:color="4F81BD" w:themeColor="accent1"/>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3DFEE" w:themeFill="accent1" w:themeFillTint="3F"/>
      </w:tcPr>
    </w:tblStylePr>
    <w:tblStylePr w:type="band1Horz">
      <w:tcPr>
        <w:tcBorders>
          <w:top w:val="nil"/>
          <w:bottom w:val="nil"/>
          <w:insideH w:val="nil"/>
          <w:insideV w:val="nil"/>
        </w:tcBorders>
        <w:shd w:val="clear" w:color="auto" w:fill="D3DFEE" w:themeFill="accent1" w:themeFillTint="3F"/>
      </w:tcPr>
    </w:tblStylePr>
    <w:tblStylePr w:type="nwCell">
      <w:tcPr>
        <w:shd w:val="clear" w:color="auto" w:fill="FFFFFF" w:themeFill="background1"/>
      </w:tcPr>
    </w:tblStylePr>
    <w:tblStylePr w:type="swCell">
      <w:tcPr>
        <w:tcBorders>
          <w:top w:val="nil"/>
        </w:tcBorders>
      </w:tcPr>
    </w:tblStylePr>
  </w:style>
  <w:style w:type="table" w:customStyle="1" w:styleId="MediumList2Accent2PHPDOCX">
    <w:name w:val="Medium List 2 Accent 2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cPr>
        <w:tcBorders>
          <w:top w:val="nil"/>
          <w:left w:val="nil"/>
          <w:bottom w:val="single" w:sz="24" w:space="0" w:color="C0504D" w:themeColor="accent2"/>
          <w:right w:val="nil"/>
          <w:insideH w:val="nil"/>
          <w:insideV w:val="nil"/>
        </w:tcBorders>
        <w:shd w:val="clear" w:color="auto" w:fill="FFFFFF" w:themeFill="background1"/>
      </w:tcPr>
    </w:tblStylePr>
    <w:tblStylePr w:type="lastRow">
      <w:tcPr>
        <w:tcBorders>
          <w:top w:val="single" w:sz="8" w:space="0" w:color="C0504D" w:themeColor="accent2"/>
          <w:left w:val="nil"/>
          <w:bottom w:val="nil"/>
          <w:right w:val="nil"/>
          <w:insideH w:val="nil"/>
          <w:insideV w:val="nil"/>
        </w:tcBorders>
        <w:shd w:val="clear" w:color="auto" w:fill="FFFFFF" w:themeFill="background1"/>
      </w:tcPr>
    </w:tblStylePr>
    <w:tblStylePr w:type="firstCol">
      <w:tcPr>
        <w:tcBorders>
          <w:top w:val="nil"/>
          <w:left w:val="nil"/>
          <w:bottom w:val="nil"/>
          <w:right w:val="single" w:sz="8" w:space="0" w:color="C0504D" w:themeColor="accent2"/>
          <w:insideH w:val="nil"/>
          <w:insideV w:val="nil"/>
        </w:tcBorders>
        <w:shd w:val="clear" w:color="auto" w:fill="FFFFFF" w:themeFill="background1"/>
      </w:tcPr>
    </w:tblStylePr>
    <w:tblStylePr w:type="lastCol">
      <w:tcPr>
        <w:tcBorders>
          <w:top w:val="nil"/>
          <w:left w:val="single" w:sz="8" w:space="0" w:color="C0504D" w:themeColor="accent2"/>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EFD3D3" w:themeFill="accent2" w:themeFillTint="3F"/>
      </w:tcPr>
    </w:tblStylePr>
    <w:tblStylePr w:type="band1Horz">
      <w:tcPr>
        <w:tcBorders>
          <w:top w:val="nil"/>
          <w:bottom w:val="nil"/>
          <w:insideH w:val="nil"/>
          <w:insideV w:val="nil"/>
        </w:tcBorders>
        <w:shd w:val="clear" w:color="auto" w:fill="EFD3D3" w:themeFill="accent2" w:themeFillTint="3F"/>
      </w:tcPr>
    </w:tblStylePr>
    <w:tblStylePr w:type="nwCell">
      <w:tcPr>
        <w:shd w:val="clear" w:color="auto" w:fill="FFFFFF" w:themeFill="background1"/>
      </w:tcPr>
    </w:tblStylePr>
    <w:tblStylePr w:type="swCell">
      <w:tcPr>
        <w:tcBorders>
          <w:top w:val="nil"/>
        </w:tcBorders>
      </w:tcPr>
    </w:tblStylePr>
  </w:style>
  <w:style w:type="table" w:customStyle="1" w:styleId="MediumList2Accent3PHPDOCX">
    <w:name w:val="Medium List 2 Accent 3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cPr>
        <w:tcBorders>
          <w:top w:val="nil"/>
          <w:left w:val="nil"/>
          <w:bottom w:val="single" w:sz="24" w:space="0" w:color="9BBB59" w:themeColor="accent3"/>
          <w:right w:val="nil"/>
          <w:insideH w:val="nil"/>
          <w:insideV w:val="nil"/>
        </w:tcBorders>
        <w:shd w:val="clear" w:color="auto" w:fill="FFFFFF" w:themeFill="background1"/>
      </w:tcPr>
    </w:tblStylePr>
    <w:tblStylePr w:type="lastRow">
      <w:tcPr>
        <w:tcBorders>
          <w:top w:val="single" w:sz="8" w:space="0" w:color="9BBB59" w:themeColor="accent3"/>
          <w:left w:val="nil"/>
          <w:bottom w:val="nil"/>
          <w:right w:val="nil"/>
          <w:insideH w:val="nil"/>
          <w:insideV w:val="nil"/>
        </w:tcBorders>
        <w:shd w:val="clear" w:color="auto" w:fill="FFFFFF" w:themeFill="background1"/>
      </w:tcPr>
    </w:tblStylePr>
    <w:tblStylePr w:type="firstCol">
      <w:tcPr>
        <w:tcBorders>
          <w:top w:val="nil"/>
          <w:left w:val="nil"/>
          <w:bottom w:val="nil"/>
          <w:right w:val="single" w:sz="8" w:space="0" w:color="9BBB59" w:themeColor="accent3"/>
          <w:insideH w:val="nil"/>
          <w:insideV w:val="nil"/>
        </w:tcBorders>
        <w:shd w:val="clear" w:color="auto" w:fill="FFFFFF" w:themeFill="background1"/>
      </w:tcPr>
    </w:tblStylePr>
    <w:tblStylePr w:type="lastCol">
      <w:tcPr>
        <w:tcBorders>
          <w:top w:val="nil"/>
          <w:left w:val="single" w:sz="8" w:space="0" w:color="9BBB59" w:themeColor="accent3"/>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E6EED5" w:themeFill="accent3" w:themeFillTint="3F"/>
      </w:tcPr>
    </w:tblStylePr>
    <w:tblStylePr w:type="band1Horz">
      <w:tcPr>
        <w:tcBorders>
          <w:top w:val="nil"/>
          <w:bottom w:val="nil"/>
          <w:insideH w:val="nil"/>
          <w:insideV w:val="nil"/>
        </w:tcBorders>
        <w:shd w:val="clear" w:color="auto" w:fill="E6EED5" w:themeFill="accent3" w:themeFillTint="3F"/>
      </w:tcPr>
    </w:tblStylePr>
    <w:tblStylePr w:type="nwCell">
      <w:tcPr>
        <w:shd w:val="clear" w:color="auto" w:fill="FFFFFF" w:themeFill="background1"/>
      </w:tcPr>
    </w:tblStylePr>
    <w:tblStylePr w:type="swCell">
      <w:tcPr>
        <w:tcBorders>
          <w:top w:val="nil"/>
        </w:tcBorders>
      </w:tcPr>
    </w:tblStylePr>
  </w:style>
  <w:style w:type="table" w:customStyle="1" w:styleId="MediumList2Accent4PHPDOCX">
    <w:name w:val="Medium List 2 Accent 4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cPr>
        <w:tcBorders>
          <w:top w:val="nil"/>
          <w:left w:val="nil"/>
          <w:bottom w:val="single" w:sz="24" w:space="0" w:color="8064A2" w:themeColor="accent4"/>
          <w:right w:val="nil"/>
          <w:insideH w:val="nil"/>
          <w:insideV w:val="nil"/>
        </w:tcBorders>
        <w:shd w:val="clear" w:color="auto" w:fill="FFFFFF" w:themeFill="background1"/>
      </w:tcPr>
    </w:tblStylePr>
    <w:tblStylePr w:type="lastRow">
      <w:tcPr>
        <w:tcBorders>
          <w:top w:val="single" w:sz="8" w:space="0" w:color="8064A2" w:themeColor="accent4"/>
          <w:left w:val="nil"/>
          <w:bottom w:val="nil"/>
          <w:right w:val="nil"/>
          <w:insideH w:val="nil"/>
          <w:insideV w:val="nil"/>
        </w:tcBorders>
        <w:shd w:val="clear" w:color="auto" w:fill="FFFFFF" w:themeFill="background1"/>
      </w:tcPr>
    </w:tblStylePr>
    <w:tblStylePr w:type="firstCol">
      <w:tcPr>
        <w:tcBorders>
          <w:top w:val="nil"/>
          <w:left w:val="nil"/>
          <w:bottom w:val="nil"/>
          <w:right w:val="single" w:sz="8" w:space="0" w:color="8064A2" w:themeColor="accent4"/>
          <w:insideH w:val="nil"/>
          <w:insideV w:val="nil"/>
        </w:tcBorders>
        <w:shd w:val="clear" w:color="auto" w:fill="FFFFFF" w:themeFill="background1"/>
      </w:tcPr>
    </w:tblStylePr>
    <w:tblStylePr w:type="lastCol">
      <w:tcPr>
        <w:tcBorders>
          <w:top w:val="nil"/>
          <w:left w:val="single" w:sz="8" w:space="0" w:color="8064A2" w:themeColor="accent4"/>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FD8E8" w:themeFill="accent4" w:themeFillTint="3F"/>
      </w:tcPr>
    </w:tblStylePr>
    <w:tblStylePr w:type="band1Horz">
      <w:tcPr>
        <w:tcBorders>
          <w:top w:val="nil"/>
          <w:bottom w:val="nil"/>
          <w:insideH w:val="nil"/>
          <w:insideV w:val="nil"/>
        </w:tcBorders>
        <w:shd w:val="clear" w:color="auto" w:fill="DFD8E8" w:themeFill="accent4" w:themeFillTint="3F"/>
      </w:tcPr>
    </w:tblStylePr>
    <w:tblStylePr w:type="nwCell">
      <w:tcPr>
        <w:shd w:val="clear" w:color="auto" w:fill="FFFFFF" w:themeFill="background1"/>
      </w:tcPr>
    </w:tblStylePr>
    <w:tblStylePr w:type="swCell">
      <w:tcPr>
        <w:tcBorders>
          <w:top w:val="nil"/>
        </w:tcBorders>
      </w:tcPr>
    </w:tblStylePr>
  </w:style>
  <w:style w:type="table" w:customStyle="1" w:styleId="MediumList2Accent5PHPDOCX">
    <w:name w:val="Medium List 2 Accent 5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cPr>
        <w:tcBorders>
          <w:top w:val="nil"/>
          <w:left w:val="nil"/>
          <w:bottom w:val="single" w:sz="24" w:space="0" w:color="4BACC6" w:themeColor="accent5"/>
          <w:right w:val="nil"/>
          <w:insideH w:val="nil"/>
          <w:insideV w:val="nil"/>
        </w:tcBorders>
        <w:shd w:val="clear" w:color="auto" w:fill="FFFFFF" w:themeFill="background1"/>
      </w:tcPr>
    </w:tblStylePr>
    <w:tblStylePr w:type="lastRow">
      <w:tcPr>
        <w:tcBorders>
          <w:top w:val="single" w:sz="8" w:space="0" w:color="4BACC6" w:themeColor="accent5"/>
          <w:left w:val="nil"/>
          <w:bottom w:val="nil"/>
          <w:right w:val="nil"/>
          <w:insideH w:val="nil"/>
          <w:insideV w:val="nil"/>
        </w:tcBorders>
        <w:shd w:val="clear" w:color="auto" w:fill="FFFFFF" w:themeFill="background1"/>
      </w:tcPr>
    </w:tblStylePr>
    <w:tblStylePr w:type="firstCol">
      <w:tcPr>
        <w:tcBorders>
          <w:top w:val="nil"/>
          <w:left w:val="nil"/>
          <w:bottom w:val="nil"/>
          <w:right w:val="single" w:sz="8" w:space="0" w:color="4BACC6" w:themeColor="accent5"/>
          <w:insideH w:val="nil"/>
          <w:insideV w:val="nil"/>
        </w:tcBorders>
        <w:shd w:val="clear" w:color="auto" w:fill="FFFFFF" w:themeFill="background1"/>
      </w:tcPr>
    </w:tblStylePr>
    <w:tblStylePr w:type="lastCol">
      <w:tcPr>
        <w:tcBorders>
          <w:top w:val="nil"/>
          <w:left w:val="single" w:sz="8" w:space="0" w:color="4BACC6" w:themeColor="accent5"/>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2EAF0" w:themeFill="accent5" w:themeFillTint="3F"/>
      </w:tcPr>
    </w:tblStylePr>
    <w:tblStylePr w:type="band1Horz">
      <w:tcPr>
        <w:tcBorders>
          <w:top w:val="nil"/>
          <w:bottom w:val="nil"/>
          <w:insideH w:val="nil"/>
          <w:insideV w:val="nil"/>
        </w:tcBorders>
        <w:shd w:val="clear" w:color="auto" w:fill="D2EAF0" w:themeFill="accent5" w:themeFillTint="3F"/>
      </w:tcPr>
    </w:tblStylePr>
    <w:tblStylePr w:type="nwCell">
      <w:tcPr>
        <w:shd w:val="clear" w:color="auto" w:fill="FFFFFF" w:themeFill="background1"/>
      </w:tcPr>
    </w:tblStylePr>
    <w:tblStylePr w:type="swCell">
      <w:tcPr>
        <w:tcBorders>
          <w:top w:val="nil"/>
        </w:tcBorders>
      </w:tcPr>
    </w:tblStylePr>
  </w:style>
  <w:style w:type="table" w:customStyle="1" w:styleId="MediumList2Accent6PHPDOCX">
    <w:name w:val="Medium List 2 Accent 6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cPr>
        <w:tcBorders>
          <w:top w:val="nil"/>
          <w:left w:val="nil"/>
          <w:bottom w:val="single" w:sz="24" w:space="0" w:color="F79646" w:themeColor="accent6"/>
          <w:right w:val="nil"/>
          <w:insideH w:val="nil"/>
          <w:insideV w:val="nil"/>
        </w:tcBorders>
        <w:shd w:val="clear" w:color="auto" w:fill="FFFFFF" w:themeFill="background1"/>
      </w:tcPr>
    </w:tblStylePr>
    <w:tblStylePr w:type="lastRow">
      <w:tcPr>
        <w:tcBorders>
          <w:top w:val="single" w:sz="8" w:space="0" w:color="F79646" w:themeColor="accent6"/>
          <w:left w:val="nil"/>
          <w:bottom w:val="nil"/>
          <w:right w:val="nil"/>
          <w:insideH w:val="nil"/>
          <w:insideV w:val="nil"/>
        </w:tcBorders>
        <w:shd w:val="clear" w:color="auto" w:fill="FFFFFF" w:themeFill="background1"/>
      </w:tcPr>
    </w:tblStylePr>
    <w:tblStylePr w:type="firstCol">
      <w:tcPr>
        <w:tcBorders>
          <w:top w:val="nil"/>
          <w:left w:val="nil"/>
          <w:bottom w:val="nil"/>
          <w:right w:val="single" w:sz="8" w:space="0" w:color="F79646" w:themeColor="accent6"/>
          <w:insideH w:val="nil"/>
          <w:insideV w:val="nil"/>
        </w:tcBorders>
        <w:shd w:val="clear" w:color="auto" w:fill="FFFFFF" w:themeFill="background1"/>
      </w:tcPr>
    </w:tblStylePr>
    <w:tblStylePr w:type="lastCol">
      <w:tcPr>
        <w:tcBorders>
          <w:top w:val="nil"/>
          <w:left w:val="single" w:sz="8" w:space="0" w:color="F79646" w:themeColor="accent6"/>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FDE5D1" w:themeFill="accent6" w:themeFillTint="3F"/>
      </w:tcPr>
    </w:tblStylePr>
    <w:tblStylePr w:type="band1Horz">
      <w:tcPr>
        <w:tcBorders>
          <w:top w:val="nil"/>
          <w:bottom w:val="nil"/>
          <w:insideH w:val="nil"/>
          <w:insideV w:val="nil"/>
        </w:tcBorders>
        <w:shd w:val="clear" w:color="auto" w:fill="FDE5D1" w:themeFill="accent6" w:themeFillTint="3F"/>
      </w:tcPr>
    </w:tblStylePr>
    <w:tblStylePr w:type="nwCell">
      <w:tcPr>
        <w:shd w:val="clear" w:color="auto" w:fill="FFFFFF" w:themeFill="background1"/>
      </w:tcPr>
    </w:tblStylePr>
    <w:tblStylePr w:type="swCell">
      <w:tcPr>
        <w:tcBorders>
          <w:top w:val="nil"/>
        </w:tcBorders>
      </w:tcPr>
    </w:tblStylePr>
  </w:style>
  <w:style w:type="table" w:customStyle="1" w:styleId="MediumGrid1PHPDOCX">
    <w:name w:val="Medium Grid 1 PHPDOCX"/>
    <w:uiPriority w:val="67"/>
    <w:qFormat/>
    <w:pPr>
      <w:spacing w:after="0" w:line="240" w:lineRule="auto"/>
    </w:pPr>
    <w:tblPr>
      <w:tblBorders>
        <w:top w:val="single" w:sz="8" w:space="0" w:color="3F3F3F" w:themeColor="text1" w:themeTint="BF"/>
        <w:left w:val="single" w:sz="8" w:space="0" w:color="3F3F3F" w:themeColor="text1" w:themeTint="BF"/>
        <w:bottom w:val="single" w:sz="8" w:space="0" w:color="3F3F3F" w:themeColor="text1" w:themeTint="BF"/>
        <w:right w:val="single" w:sz="8" w:space="0" w:color="3F3F3F" w:themeColor="text1" w:themeTint="BF"/>
        <w:insideH w:val="single" w:sz="8" w:space="0" w:color="3F3F3F" w:themeColor="text1" w:themeTint="BF"/>
        <w:insideV w:val="single" w:sz="8" w:space="0" w:color="3F3F3F" w:themeColor="text1" w:themeTint="BF"/>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cPr>
        <w:tcBorders>
          <w:top w:val="single" w:sz="18" w:space="0" w:color="3F3F3F" w:themeColor="text1" w:themeTint="BF"/>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MediumGrid1Accent1PHPDOCX">
    <w:name w:val="Medium Grid 1 Accent 1 PHPDOCX"/>
    <w:uiPriority w:val="67"/>
    <w:qFormat/>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cPr>
        <w:tcBorders>
          <w:top w:val="single" w:sz="18" w:space="0" w:color="7BA0CD" w:themeColor="accent1" w:themeTint="BF"/>
        </w:tcBorders>
      </w:tcPr>
    </w:tblStylePr>
    <w:tblStylePr w:type="firstCol">
      <w:rPr>
        <w:b/>
        <w:bCs/>
      </w:rPr>
    </w:tblStylePr>
    <w:tblStylePr w:type="lastCol">
      <w:rPr>
        <w:b/>
        <w:bCs/>
      </w:rPr>
    </w:tblStylePr>
    <w:tblStylePr w:type="band1Vert">
      <w:tcPr>
        <w:shd w:val="clear" w:color="auto" w:fill="A7C0DE" w:themeFill="accent1" w:themeFillTint="7F"/>
      </w:tcPr>
    </w:tblStylePr>
    <w:tblStylePr w:type="band1Horz">
      <w:tcPr>
        <w:shd w:val="clear" w:color="auto" w:fill="A7C0DE" w:themeFill="accent1" w:themeFillTint="7F"/>
      </w:tcPr>
    </w:tblStylePr>
  </w:style>
  <w:style w:type="table" w:customStyle="1" w:styleId="MediumGrid1Accent2PHPDOCX">
    <w:name w:val="Medium Grid 1 Accent 2 PHPDOCX"/>
    <w:uiPriority w:val="67"/>
    <w:qFormat/>
    <w:pPr>
      <w:spacing w:after="0" w:line="240" w:lineRule="auto"/>
    </w:p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cPr>
        <w:tcBorders>
          <w:top w:val="single" w:sz="18" w:space="0" w:color="CF7B79" w:themeColor="accent2" w:themeTint="BF"/>
        </w:tcBorders>
      </w:tcPr>
    </w:tblStylePr>
    <w:tblStylePr w:type="firstCol">
      <w:rPr>
        <w:b/>
        <w:bCs/>
      </w:rPr>
    </w:tblStylePr>
    <w:tblStylePr w:type="lastCol">
      <w:rPr>
        <w:b/>
        <w:bCs/>
      </w:rPr>
    </w:tblStylePr>
    <w:tblStylePr w:type="band1Vert">
      <w:tcPr>
        <w:shd w:val="clear" w:color="auto" w:fill="DFA7A6" w:themeFill="accent2" w:themeFillTint="7F"/>
      </w:tcPr>
    </w:tblStylePr>
    <w:tblStylePr w:type="band1Horz">
      <w:tcPr>
        <w:shd w:val="clear" w:color="auto" w:fill="DFA7A6" w:themeFill="accent2" w:themeFillTint="7F"/>
      </w:tcPr>
    </w:tblStylePr>
  </w:style>
  <w:style w:type="table" w:customStyle="1" w:styleId="MediumGrid1Accent3PHPDOCX">
    <w:name w:val="Medium Grid 1 Accent 3 PHPDOCX"/>
    <w:uiPriority w:val="67"/>
    <w:qFormat/>
    <w:pPr>
      <w:spacing w:after="0" w:line="240" w:lineRule="auto"/>
    </w:pPr>
    <w:tblPr>
      <w:tblBorders>
        <w:top w:val="single" w:sz="8" w:space="0" w:color="B4CC82" w:themeColor="accent3" w:themeTint="BF"/>
        <w:left w:val="single" w:sz="8" w:space="0" w:color="B4CC82" w:themeColor="accent3" w:themeTint="BF"/>
        <w:bottom w:val="single" w:sz="8" w:space="0" w:color="B4CC82" w:themeColor="accent3" w:themeTint="BF"/>
        <w:right w:val="single" w:sz="8" w:space="0" w:color="B4CC82" w:themeColor="accent3" w:themeTint="BF"/>
        <w:insideH w:val="single" w:sz="8" w:space="0" w:color="B4CC82" w:themeColor="accent3" w:themeTint="BF"/>
        <w:insideV w:val="single" w:sz="8" w:space="0" w:color="B4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cPr>
        <w:tcBorders>
          <w:top w:val="single" w:sz="18" w:space="0" w:color="B4CC82" w:themeColor="accent3" w:themeTint="BF"/>
        </w:tcBorders>
      </w:tcPr>
    </w:tblStylePr>
    <w:tblStylePr w:type="firstCol">
      <w:rPr>
        <w:b/>
        <w:bCs/>
      </w:rPr>
    </w:tblStylePr>
    <w:tblStylePr w:type="lastCol">
      <w:rPr>
        <w:b/>
        <w:bCs/>
      </w:rPr>
    </w:tblStylePr>
    <w:tblStylePr w:type="band1Vert">
      <w:tcPr>
        <w:shd w:val="clear" w:color="auto" w:fill="CDDDAC" w:themeFill="accent3" w:themeFillTint="7F"/>
      </w:tcPr>
    </w:tblStylePr>
    <w:tblStylePr w:type="band1Horz">
      <w:tcPr>
        <w:shd w:val="clear" w:color="auto" w:fill="CDDDAC" w:themeFill="accent3" w:themeFillTint="7F"/>
      </w:tcPr>
    </w:tblStylePr>
  </w:style>
  <w:style w:type="table" w:customStyle="1" w:styleId="MediumGrid1Accent4PHPDOCX">
    <w:name w:val="Medium Grid 1 Accent 4 PHPDOCX"/>
    <w:uiPriority w:val="67"/>
    <w:qFormat/>
    <w:pPr>
      <w:spacing w:after="0" w:line="240" w:lineRule="auto"/>
    </w:p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cPr>
        <w:tcBorders>
          <w:top w:val="single" w:sz="18" w:space="0" w:color="9F8AB9" w:themeColor="accent4" w:themeTint="BF"/>
        </w:tcBorders>
      </w:tcPr>
    </w:tblStylePr>
    <w:tblStylePr w:type="firstCol">
      <w:rPr>
        <w:b/>
        <w:bCs/>
      </w:rPr>
    </w:tblStylePr>
    <w:tblStylePr w:type="lastCol">
      <w:rPr>
        <w:b/>
        <w:bCs/>
      </w:rPr>
    </w:tblStylePr>
    <w:tblStylePr w:type="band1Vert">
      <w:tcPr>
        <w:shd w:val="clear" w:color="auto" w:fill="BFB1D0" w:themeFill="accent4" w:themeFillTint="7F"/>
      </w:tcPr>
    </w:tblStylePr>
    <w:tblStylePr w:type="band1Horz">
      <w:tcPr>
        <w:shd w:val="clear" w:color="auto" w:fill="BFB1D0" w:themeFill="accent4" w:themeFillTint="7F"/>
      </w:tcPr>
    </w:tblStylePr>
  </w:style>
  <w:style w:type="table" w:customStyle="1" w:styleId="MediumGrid1Accent5PHPDOCX">
    <w:name w:val="Medium Grid 1 Accent 5 PHPDOCX"/>
    <w:uiPriority w:val="67"/>
    <w:qFormat/>
    <w:pPr>
      <w:spacing w:after="0" w:line="240" w:lineRule="auto"/>
    </w:p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cPr>
        <w:tcBorders>
          <w:top w:val="single" w:sz="18" w:space="0" w:color="78C0D4" w:themeColor="accent5" w:themeTint="BF"/>
        </w:tcBorders>
      </w:tcPr>
    </w:tblStylePr>
    <w:tblStylePr w:type="firstCol">
      <w:rPr>
        <w:b/>
        <w:bCs/>
      </w:rPr>
    </w:tblStylePr>
    <w:tblStylePr w:type="lastCol">
      <w:rPr>
        <w:b/>
        <w:bCs/>
      </w:rPr>
    </w:tblStylePr>
    <w:tblStylePr w:type="band1Vert">
      <w:tcPr>
        <w:shd w:val="clear" w:color="auto" w:fill="A5D5E2" w:themeFill="accent5" w:themeFillTint="7F"/>
      </w:tcPr>
    </w:tblStylePr>
    <w:tblStylePr w:type="band1Horz">
      <w:tcPr>
        <w:shd w:val="clear" w:color="auto" w:fill="A5D5E2" w:themeFill="accent5" w:themeFillTint="7F"/>
      </w:tcPr>
    </w:tblStylePr>
  </w:style>
  <w:style w:type="table" w:customStyle="1" w:styleId="MediumGrid1Accent6PHPDOCX">
    <w:name w:val="Medium Grid 1 Accent 6 PHPDOCX"/>
    <w:uiPriority w:val="67"/>
    <w:qFormat/>
    <w:pPr>
      <w:spacing w:after="0" w:line="240" w:lineRule="auto"/>
    </w:p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cPr>
        <w:tcBorders>
          <w:top w:val="single" w:sz="18" w:space="0" w:color="F9B074" w:themeColor="accent6" w:themeTint="BF"/>
        </w:tcBorders>
      </w:tcPr>
    </w:tblStylePr>
    <w:tblStylePr w:type="firstCol">
      <w:rPr>
        <w:b/>
        <w:bCs/>
      </w:rPr>
    </w:tblStylePr>
    <w:tblStylePr w:type="lastCol">
      <w:rPr>
        <w:b/>
        <w:bCs/>
      </w:rPr>
    </w:tblStylePr>
    <w:tblStylePr w:type="band1Vert">
      <w:tcPr>
        <w:shd w:val="clear" w:color="auto" w:fill="FBCAA2" w:themeFill="accent6" w:themeFillTint="7F"/>
      </w:tcPr>
    </w:tblStylePr>
    <w:tblStylePr w:type="band1Horz">
      <w:tcPr>
        <w:shd w:val="clear" w:color="auto" w:fill="FBCAA2" w:themeFill="accent6" w:themeFillTint="7F"/>
      </w:tcPr>
    </w:tblStylePr>
  </w:style>
  <w:style w:type="table" w:customStyle="1" w:styleId="MediumGrid2PHPDOCX">
    <w:name w:val="Medium Grid 2 PHPDOCX"/>
    <w:uiPriority w:val="68"/>
    <w:qFormat/>
    <w:pPr>
      <w:spacing w:after="0" w:line="240" w:lineRule="auto"/>
    </w:pPr>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rPr>
      <w:tcPr>
        <w:shd w:val="clear" w:color="auto" w:fill="E5E5E5" w:themeFill="text1" w:themeFillTint="19"/>
      </w:tcPr>
    </w:tblStylePr>
    <w:tblStylePr w:type="lastRow">
      <w:rPr>
        <w:b/>
        <w:bCs/>
        <w:color w:val="000000" w:themeColor="text1"/>
      </w: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color="auto"/>
          <w:insideV w:val="single" w:sz="6" w:space="0" w:color="auto"/>
        </w:tcBorders>
        <w:shd w:val="clear" w:color="auto" w:fill="7F7F7F" w:themeFill="text1" w:themeFillTint="7F"/>
      </w:tcPr>
    </w:tblStylePr>
    <w:tblStylePr w:type="nwCell">
      <w:tcPr>
        <w:shd w:val="clear" w:color="auto" w:fill="FFFFFF" w:themeFill="background1"/>
      </w:tcPr>
    </w:tblStylePr>
  </w:style>
  <w:style w:type="table" w:customStyle="1" w:styleId="MediumGrid2Accent1PHPDOCX">
    <w:name w:val="Medium Grid 2 Accent 1 PHPDOCX"/>
    <w:uiPriority w:val="68"/>
    <w:qFormat/>
    <w:pPr>
      <w:spacing w:after="0" w:line="240" w:lineRule="auto"/>
    </w:pPr>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cPr>
        <w:shd w:val="clear" w:color="auto" w:fill="EDF2F8" w:themeFill="accent1" w:themeFillTint="19"/>
      </w:tcPr>
    </w:tblStylePr>
    <w:tblStylePr w:type="lastRow">
      <w:rPr>
        <w:b/>
        <w:bCs/>
        <w:color w:val="000000" w:themeColor="text1"/>
      </w: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DBE5F1" w:themeFill="accent1" w:themeFillTint="33"/>
      </w:tcPr>
    </w:tblStylePr>
    <w:tblStylePr w:type="band1Vert">
      <w:tcPr>
        <w:shd w:val="clear" w:color="auto" w:fill="A7C0DE" w:themeFill="accent1" w:themeFillTint="7F"/>
      </w:tcPr>
    </w:tblStylePr>
    <w:tblStylePr w:type="band1Horz">
      <w:tcPr>
        <w:tcBorders>
          <w:insideH w:val="single" w:sz="6" w:space="0" w:color="auto"/>
          <w:insideV w:val="single" w:sz="6" w:space="0" w:color="auto"/>
        </w:tcBorders>
        <w:shd w:val="clear" w:color="auto" w:fill="A7C0DE" w:themeFill="accent1" w:themeFillTint="7F"/>
      </w:tcPr>
    </w:tblStylePr>
    <w:tblStylePr w:type="nwCell">
      <w:tcPr>
        <w:shd w:val="clear" w:color="auto" w:fill="FFFFFF" w:themeFill="background1"/>
      </w:tcPr>
    </w:tblStylePr>
  </w:style>
  <w:style w:type="table" w:customStyle="1" w:styleId="MediumGrid2Accent2PHPDOCX">
    <w:name w:val="Medium Grid 2 Accent 2 PHPDOCX"/>
    <w:uiPriority w:val="68"/>
    <w:qFormat/>
    <w:pPr>
      <w:spacing w:after="0" w:line="240" w:lineRule="auto"/>
    </w:pPr>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rPr>
      <w:tcPr>
        <w:shd w:val="clear" w:color="auto" w:fill="F8EDED" w:themeFill="accent2" w:themeFillTint="19"/>
      </w:tcPr>
    </w:tblStylePr>
    <w:tblStylePr w:type="lastRow">
      <w:rPr>
        <w:b/>
        <w:bCs/>
        <w:color w:val="000000" w:themeColor="text1"/>
      </w: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F2DBDB" w:themeFill="accent2" w:themeFillTint="33"/>
      </w:tcPr>
    </w:tblStylePr>
    <w:tblStylePr w:type="band1Vert">
      <w:tcPr>
        <w:shd w:val="clear" w:color="auto" w:fill="DFA7A6" w:themeFill="accent2" w:themeFillTint="7F"/>
      </w:tcPr>
    </w:tblStylePr>
    <w:tblStylePr w:type="band1Horz">
      <w:tcPr>
        <w:tcBorders>
          <w:insideH w:val="single" w:sz="6" w:space="0" w:color="auto"/>
          <w:insideV w:val="single" w:sz="6" w:space="0" w:color="auto"/>
        </w:tcBorders>
        <w:shd w:val="clear" w:color="auto" w:fill="DFA7A6" w:themeFill="accent2" w:themeFillTint="7F"/>
      </w:tcPr>
    </w:tblStylePr>
    <w:tblStylePr w:type="nwCell">
      <w:tcPr>
        <w:shd w:val="clear" w:color="auto" w:fill="FFFFFF" w:themeFill="background1"/>
      </w:tcPr>
    </w:tblStylePr>
  </w:style>
  <w:style w:type="table" w:customStyle="1" w:styleId="MediumGrid2Accent3PHPDOCX">
    <w:name w:val="Medium Grid 2 Accent 3 PHPDOCX"/>
    <w:uiPriority w:val="68"/>
    <w:qFormat/>
    <w:pPr>
      <w:spacing w:after="0" w:line="240" w:lineRule="auto"/>
    </w:pPr>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cPr>
        <w:shd w:val="clear" w:color="auto" w:fill="F5F8EE" w:themeFill="accent3" w:themeFillTint="19"/>
      </w:tcPr>
    </w:tblStylePr>
    <w:tblStylePr w:type="lastRow">
      <w:rPr>
        <w:b/>
        <w:bCs/>
        <w:color w:val="000000" w:themeColor="text1"/>
      </w: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EAF1DD" w:themeFill="accent3" w:themeFillTint="33"/>
      </w:tcPr>
    </w:tblStylePr>
    <w:tblStylePr w:type="band1Vert">
      <w:tcPr>
        <w:shd w:val="clear" w:color="auto" w:fill="CDDDAC" w:themeFill="accent3" w:themeFillTint="7F"/>
      </w:tcPr>
    </w:tblStylePr>
    <w:tblStylePr w:type="band1Horz">
      <w:tcPr>
        <w:tcBorders>
          <w:insideH w:val="single" w:sz="6" w:space="0" w:color="auto"/>
          <w:insideV w:val="single" w:sz="6" w:space="0" w:color="auto"/>
        </w:tcBorders>
        <w:shd w:val="clear" w:color="auto" w:fill="CDDDAC" w:themeFill="accent3" w:themeFillTint="7F"/>
      </w:tcPr>
    </w:tblStylePr>
    <w:tblStylePr w:type="nwCell">
      <w:tcPr>
        <w:shd w:val="clear" w:color="auto" w:fill="FFFFFF" w:themeFill="background1"/>
      </w:tcPr>
    </w:tblStylePr>
  </w:style>
  <w:style w:type="table" w:customStyle="1" w:styleId="MediumGrid2Accent4PHPDOCX">
    <w:name w:val="Medium Grid 2 Accent 4 PHPDOCX"/>
    <w:uiPriority w:val="68"/>
    <w:pPr>
      <w:spacing w:after="0" w:line="240" w:lineRule="auto"/>
    </w:pPr>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cPr>
        <w:shd w:val="clear" w:color="auto" w:fill="F2EFF5" w:themeFill="accent4" w:themeFillTint="19"/>
      </w:tcPr>
    </w:tblStylePr>
    <w:tblStylePr w:type="lastRow">
      <w:rPr>
        <w:b/>
        <w:bCs/>
        <w:color w:val="000000" w:themeColor="text1"/>
      </w: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E5DFEC" w:themeFill="accent4" w:themeFillTint="33"/>
      </w:tcPr>
    </w:tblStylePr>
    <w:tblStylePr w:type="band1Vert">
      <w:tcPr>
        <w:shd w:val="clear" w:color="auto" w:fill="BFB1D0" w:themeFill="accent4" w:themeFillTint="7F"/>
      </w:tcPr>
    </w:tblStylePr>
    <w:tblStylePr w:type="band1Horz">
      <w:tcPr>
        <w:tcBorders>
          <w:insideH w:val="single" w:sz="6" w:space="0" w:color="auto"/>
          <w:insideV w:val="single" w:sz="6" w:space="0" w:color="auto"/>
        </w:tcBorders>
        <w:shd w:val="clear" w:color="auto" w:fill="BFB1D0" w:themeFill="accent4" w:themeFillTint="7F"/>
      </w:tcPr>
    </w:tblStylePr>
    <w:tblStylePr w:type="nwCell">
      <w:tcPr>
        <w:shd w:val="clear" w:color="auto" w:fill="FFFFFF" w:themeFill="background1"/>
      </w:tcPr>
    </w:tblStylePr>
  </w:style>
  <w:style w:type="table" w:customStyle="1" w:styleId="MediumGrid2Accent5PHPDOCX">
    <w:name w:val="Medium Grid 2 Accent 5 PHPDOCX"/>
    <w:uiPriority w:val="68"/>
    <w:qFormat/>
    <w:pPr>
      <w:spacing w:after="0" w:line="240" w:lineRule="auto"/>
    </w:pPr>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rPr>
      <w:tcPr>
        <w:shd w:val="clear" w:color="auto" w:fill="EDF6F9" w:themeFill="accent5" w:themeFillTint="19"/>
      </w:tcPr>
    </w:tblStylePr>
    <w:tblStylePr w:type="lastRow">
      <w:rPr>
        <w:b/>
        <w:bCs/>
        <w:color w:val="000000" w:themeColor="text1"/>
      </w: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DAEEF3" w:themeFill="accent5" w:themeFillTint="33"/>
      </w:tcPr>
    </w:tblStylePr>
    <w:tblStylePr w:type="band1Vert">
      <w:tcPr>
        <w:shd w:val="clear" w:color="auto" w:fill="A5D5E2" w:themeFill="accent5" w:themeFillTint="7F"/>
      </w:tcPr>
    </w:tblStylePr>
    <w:tblStylePr w:type="band1Horz">
      <w:tcPr>
        <w:tcBorders>
          <w:insideH w:val="single" w:sz="6" w:space="0" w:color="auto"/>
          <w:insideV w:val="single" w:sz="6" w:space="0" w:color="auto"/>
        </w:tcBorders>
        <w:shd w:val="clear" w:color="auto" w:fill="A5D5E2" w:themeFill="accent5" w:themeFillTint="7F"/>
      </w:tcPr>
    </w:tblStylePr>
    <w:tblStylePr w:type="nwCell">
      <w:tcPr>
        <w:shd w:val="clear" w:color="auto" w:fill="FFFFFF" w:themeFill="background1"/>
      </w:tcPr>
    </w:tblStylePr>
  </w:style>
  <w:style w:type="table" w:customStyle="1" w:styleId="MediumGrid2Accent6PHPDOCX">
    <w:name w:val="Medium Grid 2 Accent 6 PHPDOCX"/>
    <w:uiPriority w:val="68"/>
    <w:qFormat/>
    <w:pPr>
      <w:spacing w:after="0" w:line="240" w:lineRule="auto"/>
    </w:pPr>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rPr>
      <w:tcPr>
        <w:shd w:val="clear" w:color="auto" w:fill="FEF4EC" w:themeFill="accent6" w:themeFillTint="19"/>
      </w:tcPr>
    </w:tblStylePr>
    <w:tblStylePr w:type="lastRow">
      <w:rPr>
        <w:b/>
        <w:bCs/>
        <w:color w:val="000000" w:themeColor="text1"/>
      </w: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FDE9D9" w:themeFill="accent6" w:themeFillTint="33"/>
      </w:tcPr>
    </w:tblStylePr>
    <w:tblStylePr w:type="band1Vert">
      <w:tcPr>
        <w:shd w:val="clear" w:color="auto" w:fill="FBCAA2" w:themeFill="accent6" w:themeFillTint="7F"/>
      </w:tcPr>
    </w:tblStylePr>
    <w:tblStylePr w:type="band1Horz">
      <w:tcPr>
        <w:tcBorders>
          <w:insideH w:val="single" w:sz="6" w:space="0" w:color="auto"/>
          <w:insideV w:val="single" w:sz="6" w:space="0" w:color="auto"/>
        </w:tcBorders>
        <w:shd w:val="clear" w:color="auto" w:fill="FBCAA2" w:themeFill="accent6" w:themeFillTint="7F"/>
      </w:tcPr>
    </w:tblStylePr>
    <w:tblStylePr w:type="nwCell">
      <w:tcPr>
        <w:shd w:val="clear" w:color="auto" w:fill="FFFFFF" w:themeFill="background1"/>
      </w:tcPr>
    </w:tblStylePr>
  </w:style>
  <w:style w:type="table" w:customStyle="1" w:styleId="MediumGrid3PHPDOCX">
    <w:name w:val="Medium Grid 3 PHPDOCX"/>
    <w:uiPriority w:val="69"/>
    <w:qFormat/>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cPr>
        <w:tcBorders>
          <w:top w:val="nil"/>
          <w:left w:val="single" w:sz="24" w:space="0" w:color="FFFFFF" w:themeColor="background1"/>
          <w:bottom w:val="nil"/>
          <w:right w:val="nil"/>
          <w:insideH w:val="nil"/>
          <w:insideV w:val="nil"/>
        </w:tcBorders>
        <w:shd w:val="clear" w:color="auto" w:fill="000000" w:themeFill="text1"/>
      </w:tcPr>
    </w:tblStylePr>
    <w:tblStylePr w:type="band1Vert">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F7F7F" w:themeFill="text1" w:themeFillTint="7F"/>
      </w:tcPr>
    </w:tblStylePr>
    <w:tblStylePr w:type="band1Horz">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7F7F7F" w:themeFill="text1" w:themeFillTint="7F"/>
      </w:tcPr>
    </w:tblStylePr>
  </w:style>
  <w:style w:type="table" w:customStyle="1" w:styleId="MediumGrid3Accent1PHPDOCX">
    <w:name w:val="Medium Grid 3 Accent 1 PHPDOCX"/>
    <w:uiPriority w:val="69"/>
    <w:qFormat/>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cPr>
        <w:tcBorders>
          <w:top w:val="nil"/>
          <w:left w:val="single" w:sz="24" w:space="0" w:color="FFFFFF" w:themeColor="background1"/>
          <w:bottom w:val="nil"/>
          <w:right w:val="nil"/>
          <w:insideH w:val="nil"/>
          <w:insideV w:val="nil"/>
        </w:tcBorders>
        <w:shd w:val="clear" w:color="auto" w:fill="4F81BD" w:themeFill="accent1"/>
      </w:tcPr>
    </w:tblStylePr>
    <w:tblStylePr w:type="band1Vert">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C0DE" w:themeFill="accent1" w:themeFillTint="7F"/>
      </w:tcPr>
    </w:tblStylePr>
    <w:tblStylePr w:type="band1Horz">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C0DE" w:themeFill="accent1" w:themeFillTint="7F"/>
      </w:tcPr>
    </w:tblStylePr>
  </w:style>
  <w:style w:type="table" w:customStyle="1" w:styleId="MediumGrid3Accent2PHPDOCX">
    <w:name w:val="Medium Grid 3 Accent 2 PHPDOCX"/>
    <w:uiPriority w:val="69"/>
    <w:qFormat/>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cPr>
        <w:tcBorders>
          <w:top w:val="nil"/>
          <w:left w:val="single" w:sz="24" w:space="0" w:color="FFFFFF" w:themeColor="background1"/>
          <w:bottom w:val="nil"/>
          <w:right w:val="nil"/>
          <w:insideH w:val="nil"/>
          <w:insideV w:val="nil"/>
        </w:tcBorders>
        <w:shd w:val="clear" w:color="auto" w:fill="C0504D" w:themeFill="accent2"/>
      </w:tcPr>
    </w:tblStylePr>
    <w:tblStylePr w:type="band1Vert">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customStyle="1" w:styleId="MediumGrid3Accent3PHPDOCX">
    <w:name w:val="Medium Grid 3 Accent 3 PHPDOCX"/>
    <w:uiPriority w:val="69"/>
    <w:qFormat/>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cPr>
        <w:tcBorders>
          <w:top w:val="nil"/>
          <w:left w:val="single" w:sz="24" w:space="0" w:color="FFFFFF" w:themeColor="background1"/>
          <w:bottom w:val="nil"/>
          <w:right w:val="nil"/>
          <w:insideH w:val="nil"/>
          <w:insideV w:val="nil"/>
        </w:tcBorders>
        <w:shd w:val="clear" w:color="auto" w:fill="9BBB59" w:themeFill="accent3"/>
      </w:tcPr>
    </w:tblStylePr>
    <w:tblStylePr w:type="band1Vert">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customStyle="1" w:styleId="MediumGrid3Accent5PHPDOCX">
    <w:name w:val="Medium Grid 3 Accent 5 PHPDOCX"/>
    <w:uiPriority w:val="69"/>
    <w:qFormat/>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cPr>
        <w:tcBorders>
          <w:top w:val="nil"/>
          <w:left w:val="single" w:sz="24" w:space="0" w:color="FFFFFF" w:themeColor="background1"/>
          <w:bottom w:val="nil"/>
          <w:right w:val="nil"/>
          <w:insideH w:val="nil"/>
          <w:insideV w:val="nil"/>
        </w:tcBorders>
        <w:shd w:val="clear" w:color="auto" w:fill="4BACC6" w:themeFill="accent5"/>
      </w:tcPr>
    </w:tblStylePr>
    <w:tblStylePr w:type="band1Vert">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customStyle="1" w:styleId="MediumGrid3Accent4PHPDOCX">
    <w:name w:val="Medium Grid 3 Accent 4 PHPDOCX"/>
    <w:uiPriority w:val="69"/>
    <w:qFormat/>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cPr>
        <w:tcBorders>
          <w:top w:val="nil"/>
          <w:left w:val="single" w:sz="24" w:space="0" w:color="FFFFFF" w:themeColor="background1"/>
          <w:bottom w:val="nil"/>
          <w:right w:val="nil"/>
          <w:insideH w:val="nil"/>
          <w:insideV w:val="nil"/>
        </w:tcBorders>
        <w:shd w:val="clear" w:color="auto" w:fill="8064A2" w:themeFill="accent4"/>
      </w:tcPr>
    </w:tblStylePr>
    <w:tblStylePr w:type="band1Vert">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customStyle="1" w:styleId="MediumGrid3Accent6PHPDOCX">
    <w:name w:val="Medium Grid 3 Accent 6 PHPDOCX"/>
    <w:uiPriority w:val="69"/>
    <w:qFormat/>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cPr>
        <w:tcBorders>
          <w:top w:val="nil"/>
          <w:left w:val="single" w:sz="24" w:space="0" w:color="FFFFFF" w:themeColor="background1"/>
          <w:bottom w:val="nil"/>
          <w:right w:val="nil"/>
          <w:insideH w:val="nil"/>
          <w:insideV w:val="nil"/>
        </w:tcBorders>
        <w:shd w:val="clear" w:color="auto" w:fill="F79646" w:themeFill="accent6"/>
      </w:tcPr>
    </w:tblStylePr>
    <w:tblStylePr w:type="band1Vert">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customStyle="1" w:styleId="DarkListPHPDOCX">
    <w:name w:val="Dark List PHPDOCX"/>
    <w:uiPriority w:val="70"/>
    <w:qFormat/>
    <w:pPr>
      <w:spacing w:after="0" w:line="240" w:lineRule="auto"/>
    </w:pPr>
    <w:rPr>
      <w:color w:val="FFFFFF" w:themeColor="background1"/>
    </w:rPr>
    <w:tblPr>
      <w:tblCellMar>
        <w:top w:w="0" w:type="dxa"/>
        <w:left w:w="108" w:type="dxa"/>
        <w:bottom w:w="0" w:type="dxa"/>
        <w:right w:w="108" w:type="dxa"/>
      </w:tblCellMar>
    </w:tblPr>
    <w:tcPr>
      <w:shd w:val="clear" w:color="auto" w:fill="000000" w:themeFill="text1"/>
    </w:tcPr>
    <w:tblStylePr w:type="firstRow">
      <w:rPr>
        <w:b/>
        <w:bCs/>
      </w:rPr>
      <w:tcPr>
        <w:tcBorders>
          <w:top w:val="nil"/>
          <w:left w:val="nil"/>
          <w:bottom w:val="single" w:sz="18" w:space="0" w:color="FFFFFF" w:themeColor="background1"/>
          <w:right w:val="nil"/>
          <w:insideH w:val="nil"/>
          <w:insideV w:val="nil"/>
        </w:tcBorders>
        <w:shd w:val="clear" w:color="auto" w:fill="000000" w:themeFill="text1"/>
      </w:tcPr>
    </w:tblStylePr>
    <w:tblStylePr w:type="lastRow">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qFormat/>
    <w:pPr>
      <w:spacing w:after="0" w:line="240" w:lineRule="auto"/>
    </w:pPr>
    <w:rPr>
      <w:color w:val="FFFFFF" w:themeColor="background1"/>
    </w:rPr>
    <w:tblPr>
      <w:tblCellMar>
        <w:top w:w="0" w:type="dxa"/>
        <w:left w:w="108" w:type="dxa"/>
        <w:bottom w:w="0" w:type="dxa"/>
        <w:right w:w="108" w:type="dxa"/>
      </w:tblCellMar>
    </w:tblPr>
    <w:tcPr>
      <w:shd w:val="clear" w:color="auto" w:fill="4F81BD" w:themeFill="accent1"/>
    </w:tcPr>
    <w:tblStylePr w:type="firstRow">
      <w:rPr>
        <w:b/>
        <w:bCs/>
      </w:rPr>
      <w:tcPr>
        <w:tcBorders>
          <w:top w:val="nil"/>
          <w:left w:val="nil"/>
          <w:bottom w:val="single" w:sz="18" w:space="0" w:color="FFFFFF" w:themeColor="background1"/>
          <w:right w:val="nil"/>
          <w:insideH w:val="nil"/>
          <w:insideV w:val="nil"/>
        </w:tcBorders>
        <w:shd w:val="clear" w:color="auto" w:fill="000000" w:themeFill="text1"/>
      </w:tcPr>
    </w:tblStylePr>
    <w:tblStylePr w:type="lastRow">
      <w:tcPr>
        <w:tcBorders>
          <w:top w:val="single" w:sz="18" w:space="0" w:color="FFFFFF" w:themeColor="background1"/>
          <w:left w:val="nil"/>
          <w:bottom w:val="nil"/>
          <w:right w:val="nil"/>
          <w:insideH w:val="nil"/>
          <w:insideV w:val="nil"/>
        </w:tcBorders>
        <w:shd w:val="clear" w:color="auto" w:fill="243F61" w:themeFill="accent1" w:themeFillShade="7F"/>
      </w:tcPr>
    </w:tblStylePr>
    <w:tblStylePr w:type="firstCol">
      <w:tcPr>
        <w:tcBorders>
          <w:top w:val="nil"/>
          <w:left w:val="nil"/>
          <w:bottom w:val="nil"/>
          <w:right w:val="single" w:sz="18" w:space="0" w:color="FFFFFF" w:themeColor="background1"/>
          <w:insideH w:val="nil"/>
          <w:insideV w:val="nil"/>
        </w:tcBorders>
        <w:shd w:val="clear" w:color="auto" w:fill="366091" w:themeFill="accent1" w:themeFillShade="BF"/>
      </w:tcPr>
    </w:tblStylePr>
    <w:tblStylePr w:type="lastCol">
      <w:tcPr>
        <w:tcBorders>
          <w:top w:val="nil"/>
          <w:left w:val="single" w:sz="18" w:space="0" w:color="FFFFFF" w:themeColor="background1"/>
          <w:bottom w:val="nil"/>
          <w:right w:val="nil"/>
          <w:insideH w:val="nil"/>
          <w:insideV w:val="nil"/>
        </w:tcBorders>
        <w:shd w:val="clear" w:color="auto" w:fill="366091" w:themeFill="accent1" w:themeFillShade="BF"/>
      </w:tcPr>
    </w:tblStylePr>
    <w:tblStylePr w:type="band1Vert">
      <w:tcPr>
        <w:tcBorders>
          <w:top w:val="nil"/>
          <w:left w:val="nil"/>
          <w:bottom w:val="nil"/>
          <w:right w:val="nil"/>
          <w:insideH w:val="nil"/>
          <w:insideV w:val="nil"/>
        </w:tcBorders>
        <w:shd w:val="clear" w:color="auto" w:fill="366091" w:themeFill="accent1" w:themeFillShade="BF"/>
      </w:tcPr>
    </w:tblStylePr>
    <w:tblStylePr w:type="band1Horz">
      <w:tcPr>
        <w:tcBorders>
          <w:top w:val="nil"/>
          <w:left w:val="nil"/>
          <w:bottom w:val="nil"/>
          <w:right w:val="nil"/>
          <w:insideH w:val="nil"/>
          <w:insideV w:val="nil"/>
        </w:tcBorders>
        <w:shd w:val="clear" w:color="auto" w:fill="366091" w:themeFill="accent1" w:themeFillShade="BF"/>
      </w:tcPr>
    </w:tblStylePr>
  </w:style>
  <w:style w:type="table" w:customStyle="1" w:styleId="DarkListAccent2PHPDOCX">
    <w:name w:val="Dark List Accent 2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C0504D" w:themeFill="accent2"/>
    </w:tcPr>
    <w:tblStylePr w:type="firstRow">
      <w:rPr>
        <w:b/>
        <w:bCs/>
      </w:rPr>
      <w:tcPr>
        <w:tcBorders>
          <w:top w:val="nil"/>
          <w:left w:val="nil"/>
          <w:bottom w:val="single" w:sz="18" w:space="0" w:color="FFFFFF" w:themeColor="background1"/>
          <w:right w:val="nil"/>
          <w:insideH w:val="nil"/>
          <w:insideV w:val="nil"/>
        </w:tcBorders>
        <w:shd w:val="clear" w:color="auto" w:fill="000000" w:themeFill="text1"/>
      </w:tcPr>
    </w:tblStylePr>
    <w:tblStylePr w:type="lastRow">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cPr>
        <w:tcBorders>
          <w:top w:val="nil"/>
          <w:left w:val="nil"/>
          <w:bottom w:val="nil"/>
          <w:right w:val="single" w:sz="18" w:space="0" w:color="FFFFFF" w:themeColor="background1"/>
          <w:insideH w:val="nil"/>
          <w:insideV w:val="nil"/>
        </w:tcBorders>
        <w:shd w:val="clear" w:color="auto" w:fill="943734" w:themeFill="accent2" w:themeFillShade="BF"/>
      </w:tcPr>
    </w:tblStylePr>
    <w:tblStylePr w:type="lastCol">
      <w:tcPr>
        <w:tcBorders>
          <w:top w:val="nil"/>
          <w:left w:val="single" w:sz="18" w:space="0" w:color="FFFFFF" w:themeColor="background1"/>
          <w:bottom w:val="nil"/>
          <w:right w:val="nil"/>
          <w:insideH w:val="nil"/>
          <w:insideV w:val="nil"/>
        </w:tcBorders>
        <w:shd w:val="clear" w:color="auto" w:fill="943734" w:themeFill="accent2" w:themeFillShade="BF"/>
      </w:tcPr>
    </w:tblStylePr>
    <w:tblStylePr w:type="band1Vert">
      <w:tcPr>
        <w:tcBorders>
          <w:top w:val="nil"/>
          <w:left w:val="nil"/>
          <w:bottom w:val="nil"/>
          <w:right w:val="nil"/>
          <w:insideH w:val="nil"/>
          <w:insideV w:val="nil"/>
        </w:tcBorders>
        <w:shd w:val="clear" w:color="auto" w:fill="943734" w:themeFill="accent2" w:themeFillShade="BF"/>
      </w:tcPr>
    </w:tblStylePr>
    <w:tblStylePr w:type="band1Horz">
      <w:tcPr>
        <w:tcBorders>
          <w:top w:val="nil"/>
          <w:left w:val="nil"/>
          <w:bottom w:val="nil"/>
          <w:right w:val="nil"/>
          <w:insideH w:val="nil"/>
          <w:insideV w:val="nil"/>
        </w:tcBorders>
        <w:shd w:val="clear" w:color="auto" w:fill="943734" w:themeFill="accent2" w:themeFillShade="BF"/>
      </w:tcPr>
    </w:tblStylePr>
  </w:style>
  <w:style w:type="table" w:customStyle="1" w:styleId="DarkListAccent3PHPDOCX">
    <w:name w:val="Dark List Accent 3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9BBB59" w:themeFill="accent3"/>
    </w:tcPr>
    <w:tblStylePr w:type="firstRow">
      <w:rPr>
        <w:b/>
        <w:bCs/>
      </w:rPr>
      <w:tcPr>
        <w:tcBorders>
          <w:top w:val="nil"/>
          <w:left w:val="nil"/>
          <w:bottom w:val="single" w:sz="18" w:space="0" w:color="FFFFFF" w:themeColor="background1"/>
          <w:right w:val="nil"/>
          <w:insideH w:val="nil"/>
          <w:insideV w:val="nil"/>
        </w:tcBorders>
        <w:shd w:val="clear" w:color="auto" w:fill="000000" w:themeFill="text1"/>
      </w:tcPr>
    </w:tblStylePr>
    <w:tblStylePr w:type="lastRow">
      <w:tcPr>
        <w:tcBorders>
          <w:top w:val="single" w:sz="18" w:space="0" w:color="FFFFFF" w:themeColor="background1"/>
          <w:left w:val="nil"/>
          <w:bottom w:val="nil"/>
          <w:right w:val="nil"/>
          <w:insideH w:val="nil"/>
          <w:insideV w:val="nil"/>
        </w:tcBorders>
        <w:shd w:val="clear" w:color="auto" w:fill="4E6127" w:themeFill="accent3" w:themeFillShade="7F"/>
      </w:tcPr>
    </w:tblStylePr>
    <w:tblStylePr w:type="firstCol">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cPr>
        <w:tcBorders>
          <w:top w:val="nil"/>
          <w:left w:val="nil"/>
          <w:bottom w:val="nil"/>
          <w:right w:val="nil"/>
          <w:insideH w:val="nil"/>
          <w:insideV w:val="nil"/>
        </w:tcBorders>
        <w:shd w:val="clear" w:color="auto" w:fill="76923C" w:themeFill="accent3" w:themeFillShade="BF"/>
      </w:tcPr>
    </w:tblStylePr>
    <w:tblStylePr w:type="band1Horz">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8064A2" w:themeFill="accent4"/>
    </w:tcPr>
    <w:tblStylePr w:type="firstRow">
      <w:rPr>
        <w:b/>
        <w:bCs/>
      </w:rPr>
      <w:tcPr>
        <w:tcBorders>
          <w:top w:val="nil"/>
          <w:left w:val="nil"/>
          <w:bottom w:val="single" w:sz="18" w:space="0" w:color="FFFFFF" w:themeColor="background1"/>
          <w:right w:val="nil"/>
          <w:insideH w:val="nil"/>
          <w:insideV w:val="nil"/>
        </w:tcBorders>
        <w:shd w:val="clear" w:color="auto" w:fill="000000" w:themeFill="text1"/>
      </w:tcPr>
    </w:tblStylePr>
    <w:tblStylePr w:type="lastRow">
      <w:tcPr>
        <w:tcBorders>
          <w:top w:val="single" w:sz="18" w:space="0" w:color="FFFFFF" w:themeColor="background1"/>
          <w:left w:val="nil"/>
          <w:bottom w:val="nil"/>
          <w:right w:val="nil"/>
          <w:insideH w:val="nil"/>
          <w:insideV w:val="nil"/>
        </w:tcBorders>
        <w:shd w:val="clear" w:color="auto" w:fill="3F3051" w:themeFill="accent4" w:themeFillShade="7F"/>
      </w:tcPr>
    </w:tblStylePr>
    <w:tblStylePr w:type="firstCol">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cPr>
        <w:tcBorders>
          <w:top w:val="nil"/>
          <w:left w:val="nil"/>
          <w:bottom w:val="nil"/>
          <w:right w:val="nil"/>
          <w:insideH w:val="nil"/>
          <w:insideV w:val="nil"/>
        </w:tcBorders>
        <w:shd w:val="clear" w:color="auto" w:fill="5F497A" w:themeFill="accent4" w:themeFillShade="BF"/>
      </w:tcPr>
    </w:tblStylePr>
    <w:tblStylePr w:type="band1Horz">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4BACC6" w:themeFill="accent5"/>
    </w:tcPr>
    <w:tblStylePr w:type="firstRow">
      <w:rPr>
        <w:b/>
        <w:bCs/>
      </w:rPr>
      <w:tcPr>
        <w:tcBorders>
          <w:top w:val="nil"/>
          <w:left w:val="nil"/>
          <w:bottom w:val="single" w:sz="18" w:space="0" w:color="FFFFFF" w:themeColor="background1"/>
          <w:right w:val="nil"/>
          <w:insideH w:val="nil"/>
          <w:insideV w:val="nil"/>
        </w:tcBorders>
        <w:shd w:val="clear" w:color="auto" w:fill="000000" w:themeFill="text1"/>
      </w:tcPr>
    </w:tblStylePr>
    <w:tblStylePr w:type="lastRow">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cPr>
        <w:tcBorders>
          <w:top w:val="nil"/>
          <w:left w:val="nil"/>
          <w:bottom w:val="nil"/>
          <w:right w:val="nil"/>
          <w:insideH w:val="nil"/>
          <w:insideV w:val="nil"/>
        </w:tcBorders>
        <w:shd w:val="clear" w:color="auto" w:fill="31849B" w:themeFill="accent5" w:themeFillShade="BF"/>
      </w:tcPr>
    </w:tblStylePr>
    <w:tblStylePr w:type="band1Horz">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F79646" w:themeFill="accent6"/>
    </w:tcPr>
    <w:tblStylePr w:type="firstRow">
      <w:rPr>
        <w:b/>
        <w:bCs/>
      </w:rPr>
      <w:tcPr>
        <w:tcBorders>
          <w:top w:val="nil"/>
          <w:left w:val="nil"/>
          <w:bottom w:val="single" w:sz="18" w:space="0" w:color="FFFFFF" w:themeColor="background1"/>
          <w:right w:val="nil"/>
          <w:insideH w:val="nil"/>
          <w:insideV w:val="nil"/>
        </w:tcBorders>
        <w:shd w:val="clear" w:color="auto" w:fill="000000" w:themeFill="text1"/>
      </w:tcPr>
    </w:tblStylePr>
    <w:tblStylePr w:type="lastRow">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cPr>
        <w:tcBorders>
          <w:top w:val="nil"/>
          <w:left w:val="nil"/>
          <w:bottom w:val="nil"/>
          <w:right w:val="single" w:sz="18" w:space="0" w:color="FFFFFF" w:themeColor="background1"/>
          <w:insideH w:val="nil"/>
          <w:insideV w:val="nil"/>
        </w:tcBorders>
        <w:shd w:val="clear" w:color="auto" w:fill="E36C09" w:themeFill="accent6" w:themeFillShade="BF"/>
      </w:tcPr>
    </w:tblStylePr>
    <w:tblStylePr w:type="lastCol">
      <w:tcPr>
        <w:tcBorders>
          <w:top w:val="nil"/>
          <w:left w:val="single" w:sz="18" w:space="0" w:color="FFFFFF" w:themeColor="background1"/>
          <w:bottom w:val="nil"/>
          <w:right w:val="nil"/>
          <w:insideH w:val="nil"/>
          <w:insideV w:val="nil"/>
        </w:tcBorders>
        <w:shd w:val="clear" w:color="auto" w:fill="E36C09" w:themeFill="accent6" w:themeFillShade="BF"/>
      </w:tcPr>
    </w:tblStylePr>
    <w:tblStylePr w:type="band1Vert">
      <w:tcPr>
        <w:tcBorders>
          <w:top w:val="nil"/>
          <w:left w:val="nil"/>
          <w:bottom w:val="nil"/>
          <w:right w:val="nil"/>
          <w:insideH w:val="nil"/>
          <w:insideV w:val="nil"/>
        </w:tcBorders>
        <w:shd w:val="clear" w:color="auto" w:fill="E36C09" w:themeFill="accent6" w:themeFillShade="BF"/>
      </w:tcPr>
    </w:tblStylePr>
    <w:tblStylePr w:type="band1Horz">
      <w:tcPr>
        <w:tcBorders>
          <w:top w:val="nil"/>
          <w:left w:val="nil"/>
          <w:bottom w:val="nil"/>
          <w:right w:val="nil"/>
          <w:insideH w:val="nil"/>
          <w:insideV w:val="nil"/>
        </w:tcBorders>
        <w:shd w:val="clear" w:color="auto" w:fill="E36C09" w:themeFill="accent6" w:themeFillShade="BF"/>
      </w:tcPr>
    </w:tblStylePr>
  </w:style>
  <w:style w:type="table" w:customStyle="1" w:styleId="ColorfulShadingPHPDOCX">
    <w:name w:val="Colorful Shading PHPDOCX"/>
    <w:uiPriority w:val="71"/>
    <w:pPr>
      <w:spacing w:after="0" w:line="240" w:lineRule="auto"/>
    </w:pPr>
    <w:rPr>
      <w:color w:val="000000" w:themeColor="text1"/>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E5E5" w:themeFill="text1" w:themeFillTint="19"/>
    </w:tcPr>
    <w:tblStylePr w:type="firstRow">
      <w:rPr>
        <w:b/>
        <w:bCs/>
      </w:r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cPr>
        <w:tcBorders>
          <w:top w:val="single" w:sz="6" w:space="0" w:color="FFFFFF" w:themeColor="background1"/>
        </w:tcBorders>
        <w:shd w:val="clear" w:color="auto" w:fill="000000" w:themeFill="text1" w:themeFillShade="99"/>
      </w:tcPr>
    </w:tblStylePr>
    <w:tblStylePr w:type="firstCol">
      <w:rPr>
        <w:color w:val="FFFFFF" w:themeColor="background1"/>
      </w:r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qFormat/>
    <w:pPr>
      <w:spacing w:after="0" w:line="240" w:lineRule="auto"/>
    </w:pPr>
    <w:rPr>
      <w:color w:val="000000" w:themeColor="text1"/>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cPr>
        <w:tcBorders>
          <w:top w:val="single" w:sz="6" w:space="0" w:color="FFFFFF" w:themeColor="background1"/>
        </w:tcBorders>
        <w:shd w:val="clear" w:color="auto" w:fill="2B4D74" w:themeFill="accent1" w:themeFillShade="99"/>
      </w:tcPr>
    </w:tblStylePr>
    <w:tblStylePr w:type="firstCol">
      <w:rPr>
        <w:color w:val="FFFFFF" w:themeColor="background1"/>
      </w:rPr>
      <w:tcPr>
        <w:tcBorders>
          <w:top w:val="nil"/>
          <w:left w:val="nil"/>
          <w:bottom w:val="nil"/>
          <w:right w:val="nil"/>
          <w:insideH w:val="single" w:sz="4" w:space="0" w:color="auto"/>
          <w:insideV w:val="nil"/>
        </w:tcBorders>
        <w:shd w:val="clear" w:color="auto" w:fill="2B4D74" w:themeFill="accent1" w:themeFillShade="99"/>
      </w:tcPr>
    </w:tblStylePr>
    <w:tblStylePr w:type="lastCol">
      <w:rPr>
        <w:color w:val="FFFFFF" w:themeColor="background1"/>
      </w:rPr>
      <w:tcPr>
        <w:tcBorders>
          <w:top w:val="nil"/>
          <w:left w:val="nil"/>
          <w:bottom w:val="nil"/>
          <w:right w:val="nil"/>
          <w:insideH w:val="nil"/>
          <w:insideV w:val="nil"/>
        </w:tcBorders>
        <w:shd w:val="clear" w:color="auto" w:fill="2B4D74" w:themeFill="accent1" w:themeFillShade="99"/>
      </w:tcPr>
    </w:tblStylePr>
    <w:tblStylePr w:type="band1Vert">
      <w:tcPr>
        <w:shd w:val="clear" w:color="auto" w:fill="B8CCE4" w:themeFill="accent1" w:themeFillTint="66"/>
      </w:tcPr>
    </w:tblStylePr>
    <w:tblStylePr w:type="band1Horz">
      <w:tcPr>
        <w:shd w:val="clear" w:color="auto" w:fill="A7C0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qFormat/>
    <w:pPr>
      <w:spacing w:after="0" w:line="240" w:lineRule="auto"/>
    </w:pPr>
    <w:rPr>
      <w:color w:val="000000" w:themeColor="text1"/>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cPr>
        <w:tcBorders>
          <w:top w:val="single" w:sz="6" w:space="0" w:color="FFFFFF" w:themeColor="background1"/>
        </w:tcBorders>
        <w:shd w:val="clear" w:color="auto" w:fill="772C2A" w:themeFill="accent2" w:themeFillShade="99"/>
      </w:tcPr>
    </w:tblStylePr>
    <w:tblStylePr w:type="firstCol">
      <w:rPr>
        <w:color w:val="FFFFFF" w:themeColor="background1"/>
      </w:r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cPr>
        <w:tcBorders>
          <w:top w:val="nil"/>
          <w:left w:val="nil"/>
          <w:bottom w:val="nil"/>
          <w:right w:val="nil"/>
          <w:insideH w:val="nil"/>
          <w:insideV w:val="nil"/>
        </w:tcBorders>
        <w:shd w:val="clear" w:color="auto" w:fill="772C2A" w:themeFill="accent2" w:themeFillShade="99"/>
      </w:tcPr>
    </w:tblStylePr>
    <w:tblStylePr w:type="band1Vert">
      <w:tcPr>
        <w:shd w:val="clear" w:color="auto" w:fill="E5B8B7" w:themeFill="accent2" w:themeFillTint="66"/>
      </w:tcPr>
    </w:tblStylePr>
    <w:tblStylePr w:type="band1Horz">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qFormat/>
    <w:pPr>
      <w:spacing w:after="0" w:line="240" w:lineRule="auto"/>
    </w:pPr>
    <w:rPr>
      <w:color w:val="000000" w:themeColor="text1"/>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cPr>
        <w:tcBorders>
          <w:top w:val="single" w:sz="6" w:space="0" w:color="FFFFFF" w:themeColor="background1"/>
        </w:tcBorders>
        <w:shd w:val="clear" w:color="auto" w:fill="5E7530" w:themeFill="accent3" w:themeFillShade="99"/>
      </w:tcPr>
    </w:tblStylePr>
    <w:tblStylePr w:type="firstCol">
      <w:rPr>
        <w:color w:val="FFFFFF" w:themeColor="background1"/>
      </w:r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cPr>
        <w:tcBorders>
          <w:top w:val="nil"/>
          <w:left w:val="nil"/>
          <w:bottom w:val="nil"/>
          <w:right w:val="nil"/>
          <w:insideH w:val="nil"/>
          <w:insideV w:val="nil"/>
        </w:tcBorders>
        <w:shd w:val="clear" w:color="auto" w:fill="5E7530" w:themeFill="accent3" w:themeFillShade="99"/>
      </w:tcPr>
    </w:tblStylePr>
    <w:tblStylePr w:type="band1Vert">
      <w:tcPr>
        <w:shd w:val="clear" w:color="auto" w:fill="D6E3BC" w:themeFill="accent3" w:themeFillTint="66"/>
      </w:tcPr>
    </w:tblStylePr>
    <w:tblStylePr w:type="band1Horz">
      <w:tcPr>
        <w:shd w:val="clear" w:color="auto" w:fill="CDDDAC" w:themeFill="accent3" w:themeFillTint="7F"/>
      </w:tcPr>
    </w:tblStylePr>
  </w:style>
  <w:style w:type="table" w:customStyle="1" w:styleId="ColorfulShadingAccent4PHPDOCX">
    <w:name w:val="Colorful Shading Accent 4 PHPDOCX"/>
    <w:uiPriority w:val="71"/>
    <w:qFormat/>
    <w:pPr>
      <w:spacing w:after="0" w:line="240" w:lineRule="auto"/>
    </w:pPr>
    <w:rPr>
      <w:color w:val="000000" w:themeColor="text1"/>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5" w:themeFill="accent4" w:themeFillTint="19"/>
    </w:tcPr>
    <w:tblStylePr w:type="firstRow">
      <w:rPr>
        <w:b/>
        <w:bCs/>
      </w:r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cPr>
        <w:tcBorders>
          <w:top w:val="single" w:sz="6" w:space="0" w:color="FFFFFF" w:themeColor="background1"/>
        </w:tcBorders>
        <w:shd w:val="clear" w:color="auto" w:fill="4C3A62" w:themeFill="accent4" w:themeFillShade="99"/>
      </w:tcPr>
    </w:tblStylePr>
    <w:tblStylePr w:type="firstCol">
      <w:rPr>
        <w:color w:val="FFFFFF" w:themeColor="background1"/>
      </w:rPr>
      <w:tcPr>
        <w:tcBorders>
          <w:top w:val="nil"/>
          <w:left w:val="nil"/>
          <w:bottom w:val="nil"/>
          <w:right w:val="nil"/>
          <w:insideH w:val="single" w:sz="4" w:space="0" w:color="auto"/>
          <w:insideV w:val="nil"/>
        </w:tcBorders>
        <w:shd w:val="clear" w:color="auto" w:fill="4C3A62" w:themeFill="accent4" w:themeFillShade="99"/>
      </w:tcPr>
    </w:tblStylePr>
    <w:tblStylePr w:type="lastCol">
      <w:rPr>
        <w:color w:val="FFFFFF" w:themeColor="background1"/>
      </w:rPr>
      <w:tcPr>
        <w:tcBorders>
          <w:top w:val="nil"/>
          <w:left w:val="nil"/>
          <w:bottom w:val="nil"/>
          <w:right w:val="nil"/>
          <w:insideH w:val="nil"/>
          <w:insideV w:val="nil"/>
        </w:tcBorders>
        <w:shd w:val="clear" w:color="auto" w:fill="4C3A62" w:themeFill="accent4" w:themeFillShade="99"/>
      </w:tcPr>
    </w:tblStylePr>
    <w:tblStylePr w:type="band1Vert">
      <w:tcPr>
        <w:shd w:val="clear" w:color="auto" w:fill="CCC0D9" w:themeFill="accent4" w:themeFillTint="66"/>
      </w:tcPr>
    </w:tblStylePr>
    <w:tblStylePr w:type="band1Horz">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qFormat/>
    <w:pPr>
      <w:spacing w:after="0" w:line="240" w:lineRule="auto"/>
    </w:pPr>
    <w:rPr>
      <w:color w:val="000000" w:themeColor="text1"/>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cPr>
        <w:tcBorders>
          <w:top w:val="single" w:sz="6" w:space="0" w:color="FFFFFF" w:themeColor="background1"/>
        </w:tcBorders>
        <w:shd w:val="clear" w:color="auto" w:fill="276A7C" w:themeFill="accent5" w:themeFillShade="99"/>
      </w:tcPr>
    </w:tblStylePr>
    <w:tblStylePr w:type="firstCol">
      <w:rPr>
        <w:color w:val="FFFFFF" w:themeColor="background1"/>
      </w:r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cPr>
        <w:tcBorders>
          <w:top w:val="nil"/>
          <w:left w:val="nil"/>
          <w:bottom w:val="nil"/>
          <w:right w:val="nil"/>
          <w:insideH w:val="nil"/>
          <w:insideV w:val="nil"/>
        </w:tcBorders>
        <w:shd w:val="clear" w:color="auto" w:fill="276A7C" w:themeFill="accent5" w:themeFillShade="99"/>
      </w:tcPr>
    </w:tblStylePr>
    <w:tblStylePr w:type="band1Vert">
      <w:tcPr>
        <w:shd w:val="clear" w:color="auto" w:fill="B6DDE8" w:themeFill="accent5" w:themeFillTint="66"/>
      </w:tcPr>
    </w:tblStylePr>
    <w:tblStylePr w:type="band1Horz">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qFormat/>
    <w:pPr>
      <w:spacing w:after="0" w:line="240" w:lineRule="auto"/>
    </w:pPr>
    <w:rPr>
      <w:color w:val="000000" w:themeColor="text1"/>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cPr>
        <w:tcBorders>
          <w:top w:val="single" w:sz="6" w:space="0" w:color="FFFFFF" w:themeColor="background1"/>
        </w:tcBorders>
        <w:shd w:val="clear" w:color="auto" w:fill="B65607" w:themeFill="accent6" w:themeFillShade="99"/>
      </w:tcPr>
    </w:tblStylePr>
    <w:tblStylePr w:type="firstCol">
      <w:rPr>
        <w:color w:val="FFFFFF" w:themeColor="background1"/>
      </w:rPr>
      <w:tcPr>
        <w:tcBorders>
          <w:top w:val="nil"/>
          <w:left w:val="nil"/>
          <w:bottom w:val="nil"/>
          <w:right w:val="nil"/>
          <w:insideH w:val="single" w:sz="4" w:space="0" w:color="auto"/>
          <w:insideV w:val="nil"/>
        </w:tcBorders>
        <w:shd w:val="clear" w:color="auto" w:fill="B65607" w:themeFill="accent6" w:themeFillShade="99"/>
      </w:tcPr>
    </w:tblStylePr>
    <w:tblStylePr w:type="lastCol">
      <w:rPr>
        <w:color w:val="FFFFFF" w:themeColor="background1"/>
      </w:rPr>
      <w:tcPr>
        <w:tcBorders>
          <w:top w:val="nil"/>
          <w:left w:val="nil"/>
          <w:bottom w:val="nil"/>
          <w:right w:val="nil"/>
          <w:insideH w:val="nil"/>
          <w:insideV w:val="nil"/>
        </w:tcBorders>
        <w:shd w:val="clear" w:color="auto" w:fill="B65607" w:themeFill="accent6" w:themeFillShade="99"/>
      </w:tcPr>
    </w:tblStylePr>
    <w:tblStylePr w:type="band1Vert">
      <w:tcPr>
        <w:shd w:val="clear" w:color="auto" w:fill="FBD4B4" w:themeFill="accent6" w:themeFillTint="66"/>
      </w:tcPr>
    </w:tblStylePr>
    <w:tblStylePr w:type="band1Horz">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qFormat/>
    <w:pPr>
      <w:spacing w:after="0" w:line="240" w:lineRule="auto"/>
    </w:pPr>
    <w:rPr>
      <w:color w:val="000000" w:themeColor="text1"/>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r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ColorfulListAccent1PHPDOCX">
    <w:name w:val="Colorful List Accent 1 PHPDOCX"/>
    <w:uiPriority w:val="72"/>
    <w:qFormat/>
    <w:pPr>
      <w:spacing w:after="0" w:line="240" w:lineRule="auto"/>
    </w:pPr>
    <w:rPr>
      <w:color w:val="000000" w:themeColor="text1"/>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hemeFill="accent1" w:themeFillTint="3F"/>
      </w:tcPr>
    </w:tblStylePr>
    <w:tblStylePr w:type="band1Horz">
      <w:tcPr>
        <w:shd w:val="clear" w:color="auto" w:fill="DBE5F1" w:themeFill="accent1" w:themeFillTint="33"/>
      </w:tcPr>
    </w:tblStylePr>
  </w:style>
  <w:style w:type="table" w:customStyle="1" w:styleId="ColorfulListAccent2PHPDOCX">
    <w:name w:val="Colorful List Accent 2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EFD3D3" w:themeFill="accent2" w:themeFillTint="3F"/>
      </w:tcPr>
    </w:tblStylePr>
    <w:tblStylePr w:type="band1Horz">
      <w:tcPr>
        <w:shd w:val="clear" w:color="auto" w:fill="F2DBDB" w:themeFill="accent2" w:themeFillTint="33"/>
      </w:tcPr>
    </w:tblStylePr>
  </w:style>
  <w:style w:type="table" w:customStyle="1" w:styleId="ColorfulListAccent3PHPDOCX">
    <w:name w:val="Colorful List Accent 3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E6EED5" w:themeFill="accent3" w:themeFillTint="3F"/>
      </w:tcPr>
    </w:tblStylePr>
    <w:tblStylePr w:type="band1Horz">
      <w:tcPr>
        <w:shd w:val="clear" w:color="auto" w:fill="EAF1DD" w:themeFill="accent3" w:themeFillTint="33"/>
      </w:tcPr>
    </w:tblStylePr>
  </w:style>
  <w:style w:type="table" w:customStyle="1" w:styleId="ColorfulListAccent4PHPDOCX">
    <w:name w:val="Colorful List Accent 4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r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FD8E8" w:themeFill="accent4" w:themeFillTint="3F"/>
      </w:tcPr>
    </w:tblStylePr>
    <w:tblStylePr w:type="band1Horz">
      <w:tcPr>
        <w:shd w:val="clear" w:color="auto" w:fill="E5DFEC" w:themeFill="accent4" w:themeFillTint="33"/>
      </w:tcPr>
    </w:tblStylePr>
  </w:style>
  <w:style w:type="table" w:customStyle="1" w:styleId="ColorfulListAccent5PHPDOCX">
    <w:name w:val="Colorful List Accent 5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cPr>
        <w:tcBorders>
          <w:bottom w:val="single" w:sz="12" w:space="0" w:color="FFFFFF" w:themeColor="background1"/>
        </w:tcBorders>
        <w:shd w:val="clear" w:color="auto" w:fill="F3730A" w:themeFill="accent6" w:themeFillShade="CC"/>
      </w:tcPr>
    </w:tblStylePr>
    <w:tblStylePr w:type="lastRow">
      <w:rPr>
        <w:b/>
        <w:bCs/>
        <w:color w:val="F3730A" w:themeColor="accent6" w:themeShade="CC"/>
      </w: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2EAF0" w:themeFill="accent5" w:themeFillTint="3F"/>
      </w:tcPr>
    </w:tblStylePr>
    <w:tblStylePr w:type="band1Horz">
      <w:tcPr>
        <w:shd w:val="clear" w:color="auto" w:fill="DAEEF3" w:themeFill="accent5" w:themeFillTint="33"/>
      </w:tcPr>
    </w:tblStylePr>
  </w:style>
  <w:style w:type="table" w:customStyle="1" w:styleId="ColorfulListAccent6PHPDOCX">
    <w:name w:val="Colorful List Accent 6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FDE5D1" w:themeFill="accent6" w:themeFillTint="3F"/>
      </w:tcPr>
    </w:tblStylePr>
    <w:tblStylePr w:type="band1Horz">
      <w:tcPr>
        <w:shd w:val="clear" w:color="auto" w:fill="FDE9D9" w:themeFill="accent6" w:themeFillTint="33"/>
      </w:tcPr>
    </w:tblStylePr>
  </w:style>
  <w:style w:type="table" w:customStyle="1" w:styleId="ColorfulGridPHPDOCX">
    <w:name w:val="Colorful Grid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rPr>
      <w:tcPr>
        <w:shd w:val="clear" w:color="auto" w:fill="999999" w:themeFill="text1" w:themeFillTint="66"/>
      </w:tcPr>
    </w:tblStylePr>
    <w:tblStylePr w:type="firstCol">
      <w:rPr>
        <w:color w:val="FFFFFF" w:themeColor="background1"/>
      </w:rPr>
      <w:tcPr>
        <w:shd w:val="clear" w:color="auto" w:fill="000000" w:themeFill="text1" w:themeFillShade="BF"/>
      </w:tcPr>
    </w:tblStylePr>
    <w:tblStylePr w:type="lastCol">
      <w:rPr>
        <w:color w:val="FFFFFF" w:themeColor="background1"/>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ColorfulGridAccent1PHPDOCX">
    <w:name w:val="Colorful Grid Accent 1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cPr>
        <w:shd w:val="clear" w:color="auto" w:fill="B8CCE4" w:themeFill="accent1" w:themeFillTint="66"/>
      </w:tcPr>
    </w:tblStylePr>
    <w:tblStylePr w:type="lastRow">
      <w:rPr>
        <w:b/>
        <w:bCs/>
        <w:color w:val="000000" w:themeColor="text1"/>
      </w:rPr>
      <w:tcPr>
        <w:shd w:val="clear" w:color="auto" w:fill="B8CCE4" w:themeFill="accent1" w:themeFillTint="66"/>
      </w:tcPr>
    </w:tblStylePr>
    <w:tblStylePr w:type="firstCol">
      <w:rPr>
        <w:color w:val="FFFFFF" w:themeColor="background1"/>
      </w:rPr>
      <w:tcPr>
        <w:shd w:val="clear" w:color="auto" w:fill="366091" w:themeFill="accent1" w:themeFillShade="BF"/>
      </w:tcPr>
    </w:tblStylePr>
    <w:tblStylePr w:type="lastCol">
      <w:rPr>
        <w:color w:val="FFFFFF" w:themeColor="background1"/>
      </w:rPr>
      <w:tcPr>
        <w:shd w:val="clear" w:color="auto" w:fill="366091" w:themeFill="accent1" w:themeFillShade="BF"/>
      </w:tcPr>
    </w:tblStylePr>
    <w:tblStylePr w:type="band1Vert">
      <w:tcPr>
        <w:shd w:val="clear" w:color="auto" w:fill="A7C0DE" w:themeFill="accent1" w:themeFillTint="7F"/>
      </w:tcPr>
    </w:tblStylePr>
    <w:tblStylePr w:type="band1Horz">
      <w:tcPr>
        <w:shd w:val="clear" w:color="auto" w:fill="A7C0DE" w:themeFill="accent1" w:themeFillTint="7F"/>
      </w:tcPr>
    </w:tblStylePr>
  </w:style>
  <w:style w:type="table" w:customStyle="1" w:styleId="ColorfulGridAccent2PHPDOCX">
    <w:name w:val="Colorful Grid Accent 2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cPr>
        <w:shd w:val="clear" w:color="auto" w:fill="E5B8B7" w:themeFill="accent2" w:themeFillTint="66"/>
      </w:tcPr>
    </w:tblStylePr>
    <w:tblStylePr w:type="lastRow">
      <w:rPr>
        <w:b/>
        <w:bCs/>
        <w:color w:val="000000" w:themeColor="text1"/>
      </w:rPr>
      <w:tcPr>
        <w:shd w:val="clear" w:color="auto" w:fill="E5B8B7" w:themeFill="accent2" w:themeFillTint="66"/>
      </w:tcPr>
    </w:tblStylePr>
    <w:tblStylePr w:type="firstCol">
      <w:rPr>
        <w:color w:val="FFFFFF" w:themeColor="background1"/>
      </w:rPr>
      <w:tcPr>
        <w:shd w:val="clear" w:color="auto" w:fill="943734" w:themeFill="accent2" w:themeFillShade="BF"/>
      </w:tcPr>
    </w:tblStylePr>
    <w:tblStylePr w:type="lastCol">
      <w:rPr>
        <w:color w:val="FFFFFF" w:themeColor="background1"/>
      </w:rPr>
      <w:tcPr>
        <w:shd w:val="clear" w:color="auto" w:fill="943734" w:themeFill="accent2" w:themeFillShade="BF"/>
      </w:tcPr>
    </w:tblStylePr>
    <w:tblStylePr w:type="band1Vert">
      <w:tcPr>
        <w:shd w:val="clear" w:color="auto" w:fill="DFA7A6" w:themeFill="accent2" w:themeFillTint="7F"/>
      </w:tcPr>
    </w:tblStylePr>
    <w:tblStylePr w:type="band1Horz">
      <w:tcPr>
        <w:shd w:val="clear" w:color="auto" w:fill="DFA7A6" w:themeFill="accent2" w:themeFillTint="7F"/>
      </w:tcPr>
    </w:tblStylePr>
  </w:style>
  <w:style w:type="table" w:customStyle="1" w:styleId="ColorfulGridAccent3PHPDOCX">
    <w:name w:val="Colorful Grid Accent 3 PHPDOCX"/>
    <w:uiPriority w:val="73"/>
    <w:qFormat/>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cPr>
        <w:shd w:val="clear" w:color="auto" w:fill="D6E3BC" w:themeFill="accent3" w:themeFillTint="66"/>
      </w:tcPr>
    </w:tblStylePr>
    <w:tblStylePr w:type="lastRow">
      <w:rPr>
        <w:b/>
        <w:bCs/>
        <w:color w:val="000000" w:themeColor="text1"/>
      </w:rPr>
      <w:tcPr>
        <w:shd w:val="clear" w:color="auto" w:fill="D6E3BC" w:themeFill="accent3" w:themeFillTint="66"/>
      </w:tcPr>
    </w:tblStylePr>
    <w:tblStylePr w:type="firstCol">
      <w:rPr>
        <w:color w:val="FFFFFF" w:themeColor="background1"/>
      </w:rPr>
      <w:tcPr>
        <w:shd w:val="clear" w:color="auto" w:fill="76923C" w:themeFill="accent3" w:themeFillShade="BF"/>
      </w:tcPr>
    </w:tblStylePr>
    <w:tblStylePr w:type="lastCol">
      <w:rPr>
        <w:color w:val="FFFFFF" w:themeColor="background1"/>
      </w:rPr>
      <w:tcPr>
        <w:shd w:val="clear" w:color="auto" w:fill="76923C" w:themeFill="accent3" w:themeFillShade="BF"/>
      </w:tcPr>
    </w:tblStylePr>
    <w:tblStylePr w:type="band1Vert">
      <w:tcPr>
        <w:shd w:val="clear" w:color="auto" w:fill="CDDDAC" w:themeFill="accent3" w:themeFillTint="7F"/>
      </w:tcPr>
    </w:tblStylePr>
    <w:tblStylePr w:type="band1Horz">
      <w:tcPr>
        <w:shd w:val="clear" w:color="auto" w:fill="CDDDAC" w:themeFill="accent3" w:themeFillTint="7F"/>
      </w:tcPr>
    </w:tblStylePr>
  </w:style>
  <w:style w:type="table" w:customStyle="1" w:styleId="ColorfulGridAccent4PHPDOCX">
    <w:name w:val="Colorful Grid Accent 4 PHPDOCX"/>
    <w:uiPriority w:val="73"/>
    <w:qFormat/>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cPr>
        <w:shd w:val="clear" w:color="auto" w:fill="CCC0D9" w:themeFill="accent4" w:themeFillTint="66"/>
      </w:tcPr>
    </w:tblStylePr>
    <w:tblStylePr w:type="lastRow">
      <w:rPr>
        <w:b/>
        <w:bCs/>
        <w:color w:val="000000" w:themeColor="text1"/>
      </w:rPr>
      <w:tcPr>
        <w:shd w:val="clear" w:color="auto" w:fill="CCC0D9" w:themeFill="accent4" w:themeFillTint="66"/>
      </w:tcPr>
    </w:tblStylePr>
    <w:tblStylePr w:type="firstCol">
      <w:rPr>
        <w:color w:val="FFFFFF" w:themeColor="background1"/>
      </w:rPr>
      <w:tcPr>
        <w:shd w:val="clear" w:color="auto" w:fill="5F497A" w:themeFill="accent4" w:themeFillShade="BF"/>
      </w:tcPr>
    </w:tblStylePr>
    <w:tblStylePr w:type="lastCol">
      <w:rPr>
        <w:color w:val="FFFFFF" w:themeColor="background1"/>
      </w:rPr>
      <w:tcPr>
        <w:shd w:val="clear" w:color="auto" w:fill="5F497A" w:themeFill="accent4" w:themeFillShade="BF"/>
      </w:tcPr>
    </w:tblStylePr>
    <w:tblStylePr w:type="band1Vert">
      <w:tcPr>
        <w:shd w:val="clear" w:color="auto" w:fill="BFB1D0" w:themeFill="accent4" w:themeFillTint="7F"/>
      </w:tcPr>
    </w:tblStylePr>
    <w:tblStylePr w:type="band1Horz">
      <w:tcPr>
        <w:shd w:val="clear" w:color="auto" w:fill="BFB1D0" w:themeFill="accent4" w:themeFillTint="7F"/>
      </w:tcPr>
    </w:tblStylePr>
  </w:style>
  <w:style w:type="table" w:customStyle="1" w:styleId="ColorfulGridAccent5PHPDOCX">
    <w:name w:val="Colorful Grid Accent 5 PHPDOCX"/>
    <w:uiPriority w:val="73"/>
    <w:qFormat/>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cPr>
        <w:shd w:val="clear" w:color="auto" w:fill="B6DDE8" w:themeFill="accent5" w:themeFillTint="66"/>
      </w:tcPr>
    </w:tblStylePr>
    <w:tblStylePr w:type="lastRow">
      <w:rPr>
        <w:b/>
        <w:bCs/>
        <w:color w:val="000000" w:themeColor="text1"/>
      </w:rPr>
      <w:tcPr>
        <w:shd w:val="clear" w:color="auto" w:fill="B6DDE8" w:themeFill="accent5" w:themeFillTint="66"/>
      </w:tcPr>
    </w:tblStylePr>
    <w:tblStylePr w:type="firstCol">
      <w:rPr>
        <w:color w:val="FFFFFF" w:themeColor="background1"/>
      </w:rPr>
      <w:tcPr>
        <w:shd w:val="clear" w:color="auto" w:fill="31849B" w:themeFill="accent5" w:themeFillShade="BF"/>
      </w:tcPr>
    </w:tblStylePr>
    <w:tblStylePr w:type="lastCol">
      <w:rPr>
        <w:color w:val="FFFFFF" w:themeColor="background1"/>
      </w:rPr>
      <w:tcPr>
        <w:shd w:val="clear" w:color="auto" w:fill="31849B" w:themeFill="accent5" w:themeFillShade="BF"/>
      </w:tcPr>
    </w:tblStylePr>
    <w:tblStylePr w:type="band1Vert">
      <w:tcPr>
        <w:shd w:val="clear" w:color="auto" w:fill="A5D5E2" w:themeFill="accent5" w:themeFillTint="7F"/>
      </w:tcPr>
    </w:tblStylePr>
    <w:tblStylePr w:type="band1Horz">
      <w:tcPr>
        <w:shd w:val="clear" w:color="auto" w:fill="A5D5E2" w:themeFill="accent5" w:themeFillTint="7F"/>
      </w:tcPr>
    </w:tblStylePr>
  </w:style>
  <w:style w:type="table" w:customStyle="1" w:styleId="ColorfulGridAccent6PHPDOCX">
    <w:name w:val="Colorful Grid Accent 6 PHPDOCX"/>
    <w:uiPriority w:val="73"/>
    <w:qFormat/>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cPr>
        <w:shd w:val="clear" w:color="auto" w:fill="FBD4B4" w:themeFill="accent6" w:themeFillTint="66"/>
      </w:tcPr>
    </w:tblStylePr>
    <w:tblStylePr w:type="lastRow">
      <w:rPr>
        <w:b/>
        <w:bCs/>
        <w:color w:val="000000" w:themeColor="text1"/>
      </w:rPr>
      <w:tcPr>
        <w:shd w:val="clear" w:color="auto" w:fill="FBD4B4" w:themeFill="accent6" w:themeFillTint="66"/>
      </w:tcPr>
    </w:tblStylePr>
    <w:tblStylePr w:type="firstCol">
      <w:rPr>
        <w:color w:val="FFFFFF" w:themeColor="background1"/>
      </w:rPr>
      <w:tcPr>
        <w:shd w:val="clear" w:color="auto" w:fill="E36C09" w:themeFill="accent6" w:themeFillShade="BF"/>
      </w:tcPr>
    </w:tblStylePr>
    <w:tblStylePr w:type="lastCol">
      <w:rPr>
        <w:color w:val="FFFFFF" w:themeColor="background1"/>
      </w:rPr>
      <w:tcPr>
        <w:shd w:val="clear" w:color="auto" w:fill="E36C09" w:themeFill="accent6" w:themeFillShade="BF"/>
      </w:tcPr>
    </w:tblStylePr>
    <w:tblStylePr w:type="band1Vert">
      <w:tcPr>
        <w:shd w:val="clear" w:color="auto" w:fill="FBCAA2" w:themeFill="accent6" w:themeFillTint="7F"/>
      </w:tcPr>
    </w:tblStylePr>
    <w:tblStylePr w:type="band1Horz">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header" Target="header2.xml" /><Relationship Id="rId21" Type="http://schemas.openxmlformats.org/officeDocument/2006/relationships/footer" Target="footer1.xml" /><Relationship Id="rId22" Type="http://schemas.openxmlformats.org/officeDocument/2006/relationships/footer" Target="footer2.xml" /><Relationship Id="rId23" Type="http://schemas.openxmlformats.org/officeDocument/2006/relationships/header" Target="header3.xml" /><Relationship Id="rId24" Type="http://schemas.openxmlformats.org/officeDocument/2006/relationships/footer" Target="footer3.xml" /><Relationship Id="rId25" Type="http://schemas.openxmlformats.org/officeDocument/2006/relationships/theme" Target="theme/theme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Math"/>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Math"/>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324958-CBFB-4DB0-B37D-BF649D31B7B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307</Words>
  <Characters>1690</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PHPDocX</dc:creator>
  <cp:lastModifiedBy>你随便的说、我认真的难过</cp:lastModifiedBy>
  <cp:revision>6</cp:revision>
  <dcterms:created xsi:type="dcterms:W3CDTF">2012-01-10T09:29:00Z</dcterms:created>
  <dcterms:modified xsi:type="dcterms:W3CDTF">2018-08-07T01:06:10Z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